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37C" w:rsidRDefault="006B237C">
      <w:pPr>
        <w:widowControl w:val="0"/>
        <w:pBdr>
          <w:top w:val="nil"/>
          <w:left w:val="nil"/>
          <w:bottom w:val="nil"/>
          <w:right w:val="nil"/>
          <w:between w:val="nil"/>
        </w:pBdr>
        <w:rPr>
          <w:rFonts w:ascii="Times New Roman" w:eastAsia="Times New Roman" w:hAnsi="Times New Roman" w:cs="Times New Roman"/>
          <w:color w:val="000000"/>
        </w:rPr>
      </w:pPr>
    </w:p>
    <w:p w:rsidR="006B237C" w:rsidRDefault="00D5727A">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rsidR="006B237C" w:rsidRDefault="00D5727A">
      <w:pPr>
        <w:spacing w:line="360" w:lineRule="auto"/>
        <w:jc w:val="center"/>
        <w:rPr>
          <w:rFonts w:ascii="Times New Roman" w:eastAsia="Times New Roman" w:hAnsi="Times New Roman" w:cs="Times New Roman"/>
          <w:b/>
        </w:rPr>
      </w:pPr>
      <w:r>
        <w:rPr>
          <w:rFonts w:ascii="Times New Roman" w:eastAsia="Times New Roman" w:hAnsi="Times New Roman" w:cs="Times New Roman"/>
          <w:i/>
          <w:u w:val="single"/>
        </w:rPr>
        <w:t>Kính gửi</w:t>
      </w:r>
      <w:r>
        <w:rPr>
          <w:rFonts w:ascii="Times New Roman" w:eastAsia="Times New Roman" w:hAnsi="Times New Roman" w:cs="Times New Roman"/>
          <w:b/>
        </w:rPr>
        <w:t>:  Sở Công Thương Tỉnh/ Thành phố trực thuộc trung ương</w:t>
      </w:r>
    </w:p>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Tên thương nhân: </w:t>
      </w:r>
      <w:r>
        <w:rPr>
          <w:rFonts w:ascii="Times New Roman" w:eastAsia="Times New Roman" w:hAnsi="Times New Roman" w:cs="Times New Roman"/>
          <w:b/>
        </w:rPr>
        <w:t>CÔNG TY CỔ PHẦN CON CƯNG</w:t>
      </w:r>
    </w:p>
    <w:p w:rsidR="006B237C" w:rsidRPr="00B22D8B" w:rsidRDefault="00D5727A">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Địa chỉ: 66 Nguyễn Du, Phường Bến </w:t>
      </w:r>
      <w:r w:rsidRPr="00B22D8B">
        <w:rPr>
          <w:rFonts w:ascii="Times New Roman" w:eastAsia="Times New Roman" w:hAnsi="Times New Roman" w:cs="Times New Roman"/>
        </w:rPr>
        <w:t>Nghé, Quận 1, TP. Hồ Chí Minh</w:t>
      </w:r>
    </w:p>
    <w:p w:rsidR="006B237C" w:rsidRPr="00B22D8B" w:rsidRDefault="00D5727A">
      <w:pPr>
        <w:spacing w:line="360" w:lineRule="auto"/>
        <w:ind w:firstLine="720"/>
        <w:jc w:val="both"/>
        <w:rPr>
          <w:rFonts w:ascii="Times New Roman" w:eastAsia="Times New Roman" w:hAnsi="Times New Roman" w:cs="Times New Roman"/>
        </w:rPr>
      </w:pPr>
      <w:r w:rsidRPr="00B22D8B">
        <w:rPr>
          <w:rFonts w:ascii="Times New Roman" w:eastAsia="Times New Roman" w:hAnsi="Times New Roman" w:cs="Times New Roman"/>
        </w:rPr>
        <w:t>Điện thoại: 028 7300 6609</w:t>
      </w:r>
      <w:r w:rsidRPr="00B22D8B">
        <w:rPr>
          <w:rFonts w:ascii="Times New Roman" w:eastAsia="Times New Roman" w:hAnsi="Times New Roman" w:cs="Times New Roman"/>
        </w:rPr>
        <w:tab/>
        <w:t xml:space="preserve"> </w:t>
      </w:r>
    </w:p>
    <w:p w:rsidR="006B237C" w:rsidRPr="00B22D8B" w:rsidRDefault="00D5727A">
      <w:pPr>
        <w:spacing w:line="360" w:lineRule="auto"/>
        <w:ind w:firstLine="720"/>
        <w:jc w:val="both"/>
        <w:rPr>
          <w:rFonts w:ascii="Times New Roman" w:eastAsia="Times New Roman" w:hAnsi="Times New Roman" w:cs="Times New Roman"/>
        </w:rPr>
      </w:pPr>
      <w:r w:rsidRPr="00B22D8B">
        <w:rPr>
          <w:rFonts w:ascii="Times New Roman" w:eastAsia="Times New Roman" w:hAnsi="Times New Roman" w:cs="Times New Roman"/>
        </w:rPr>
        <w:t>Mã số thuế: 0313450007</w:t>
      </w:r>
    </w:p>
    <w:p w:rsidR="006B237C" w:rsidRPr="00B22D8B" w:rsidRDefault="00D5727A">
      <w:pPr>
        <w:spacing w:line="360" w:lineRule="auto"/>
        <w:jc w:val="both"/>
        <w:rPr>
          <w:rFonts w:ascii="Times New Roman" w:eastAsia="Times New Roman" w:hAnsi="Times New Roman" w:cs="Times New Roman"/>
          <w:b/>
        </w:rPr>
      </w:pPr>
      <w:r w:rsidRPr="00B22D8B">
        <w:rPr>
          <w:rFonts w:ascii="Times New Roman" w:eastAsia="Times New Roman" w:hAnsi="Times New Roman" w:cs="Times New Roman"/>
        </w:rPr>
        <w:t>Công ty Cổ phần Con Cưng thông báo Chương trình khuyến mại như sau:</w:t>
      </w:r>
    </w:p>
    <w:p w:rsidR="006B237C" w:rsidRPr="00B22D8B" w:rsidRDefault="00D5727A">
      <w:pPr>
        <w:spacing w:line="360" w:lineRule="auto"/>
        <w:jc w:val="both"/>
        <w:rPr>
          <w:rFonts w:ascii="Times New Roman" w:eastAsia="Times New Roman" w:hAnsi="Times New Roman" w:cs="Times New Roman"/>
          <w:color w:val="FF0000"/>
        </w:rPr>
      </w:pPr>
      <w:bookmarkStart w:id="0" w:name="_heading=h.1fob9te" w:colFirst="0" w:colLast="0"/>
      <w:bookmarkEnd w:id="0"/>
      <w:r w:rsidRPr="00B22D8B">
        <w:rPr>
          <w:rFonts w:ascii="Times New Roman" w:eastAsia="Times New Roman" w:hAnsi="Times New Roman" w:cs="Times New Roman"/>
          <w:b/>
        </w:rPr>
        <w:t>1. Tên chương trình khuyến mại: Livestream từ ngày  01/02/2025 đến ngày 20/02/2025</w:t>
      </w:r>
    </w:p>
    <w:p w:rsidR="006B237C" w:rsidRPr="00B22D8B" w:rsidRDefault="00D5727A">
      <w:pPr>
        <w:spacing w:line="360" w:lineRule="auto"/>
        <w:jc w:val="both"/>
        <w:rPr>
          <w:rFonts w:ascii="Times New Roman" w:eastAsia="Times New Roman" w:hAnsi="Times New Roman" w:cs="Times New Roman"/>
        </w:rPr>
      </w:pPr>
      <w:r w:rsidRPr="00B22D8B">
        <w:rPr>
          <w:rFonts w:ascii="Times New Roman" w:eastAsia="Times New Roman" w:hAnsi="Times New Roman" w:cs="Times New Roman"/>
          <w:b/>
        </w:rPr>
        <w:t>2. Địa bàn (phạm vi) khuyến mại:</w:t>
      </w:r>
      <w:r w:rsidRPr="00B22D8B">
        <w:rPr>
          <w:rFonts w:ascii="Times New Roman" w:eastAsia="Times New Roman" w:hAnsi="Times New Roman" w:cs="Times New Roman"/>
        </w:rPr>
        <w:t xml:space="preserve"> Toàn quốc</w:t>
      </w:r>
    </w:p>
    <w:p w:rsidR="006B237C" w:rsidRPr="00B22D8B" w:rsidRDefault="00D5727A">
      <w:pPr>
        <w:spacing w:line="360" w:lineRule="auto"/>
        <w:jc w:val="both"/>
        <w:rPr>
          <w:rFonts w:ascii="Times New Roman" w:eastAsia="Times New Roman" w:hAnsi="Times New Roman" w:cs="Times New Roman"/>
          <w:b/>
        </w:rPr>
      </w:pPr>
      <w:r w:rsidRPr="00B22D8B">
        <w:rPr>
          <w:rFonts w:ascii="Times New Roman" w:eastAsia="Times New Roman" w:hAnsi="Times New Roman" w:cs="Times New Roman"/>
          <w:b/>
        </w:rPr>
        <w:t xml:space="preserve">3. Hình thức khuyến mại: </w:t>
      </w:r>
      <w:r w:rsidRPr="00B22D8B">
        <w:rPr>
          <w:rFonts w:ascii="Times New Roman" w:eastAsia="Times New Roman" w:hAnsi="Times New Roman" w:cs="Times New Roman"/>
        </w:rPr>
        <w:t>Tặng hàng hóa, cung ứng dịch vụ không thu tiền không kèm theo việc mua bán hàng hóa, cung ứng dịch vụ</w:t>
      </w:r>
    </w:p>
    <w:p w:rsidR="006B237C" w:rsidRPr="00B22D8B" w:rsidRDefault="00D5727A">
      <w:pPr>
        <w:spacing w:line="360" w:lineRule="auto"/>
        <w:jc w:val="both"/>
        <w:rPr>
          <w:rFonts w:ascii="Times New Roman" w:eastAsia="Times New Roman" w:hAnsi="Times New Roman" w:cs="Times New Roman"/>
          <w:b/>
        </w:rPr>
      </w:pPr>
      <w:r w:rsidRPr="00B22D8B">
        <w:rPr>
          <w:rFonts w:ascii="Times New Roman" w:eastAsia="Times New Roman" w:hAnsi="Times New Roman" w:cs="Times New Roman"/>
          <w:b/>
        </w:rPr>
        <w:t>4. Thời gian khuyến mại:</w:t>
      </w:r>
    </w:p>
    <w:p w:rsidR="006B237C" w:rsidRPr="00B22D8B" w:rsidRDefault="00D5727A">
      <w:pPr>
        <w:spacing w:line="360" w:lineRule="auto"/>
        <w:jc w:val="both"/>
        <w:rPr>
          <w:rFonts w:ascii="Times New Roman" w:eastAsia="Times New Roman" w:hAnsi="Times New Roman" w:cs="Times New Roman"/>
          <w:b/>
          <w:sz w:val="24"/>
          <w:szCs w:val="24"/>
        </w:rPr>
      </w:pPr>
      <w:r w:rsidRPr="00B22D8B">
        <w:rPr>
          <w:rFonts w:ascii="Times New Roman" w:eastAsia="Times New Roman" w:hAnsi="Times New Roman" w:cs="Times New Roman"/>
          <w:b/>
          <w:sz w:val="24"/>
          <w:szCs w:val="24"/>
        </w:rPr>
        <w:t>- 8:00 đến 23:00 ngày 01/02/2025</w:t>
      </w:r>
    </w:p>
    <w:p w:rsidR="006B237C" w:rsidRPr="00B22D8B" w:rsidRDefault="00D5727A">
      <w:pPr>
        <w:spacing w:line="360" w:lineRule="auto"/>
        <w:jc w:val="both"/>
        <w:rPr>
          <w:rFonts w:ascii="Times New Roman" w:eastAsia="Times New Roman" w:hAnsi="Times New Roman" w:cs="Times New Roman"/>
          <w:b/>
          <w:sz w:val="24"/>
          <w:szCs w:val="24"/>
        </w:rPr>
      </w:pPr>
      <w:r w:rsidRPr="00B22D8B">
        <w:rPr>
          <w:rFonts w:ascii="Times New Roman" w:eastAsia="Times New Roman" w:hAnsi="Times New Roman" w:cs="Times New Roman"/>
          <w:b/>
          <w:sz w:val="24"/>
          <w:szCs w:val="24"/>
        </w:rPr>
        <w:t>- 8:00 đến 23:00 ngày 02/02/2025</w:t>
      </w:r>
    </w:p>
    <w:p w:rsidR="006B237C" w:rsidRPr="00B22D8B" w:rsidRDefault="00D5727A">
      <w:pPr>
        <w:spacing w:line="360" w:lineRule="auto"/>
        <w:jc w:val="both"/>
        <w:rPr>
          <w:rFonts w:ascii="Times New Roman" w:eastAsia="Times New Roman" w:hAnsi="Times New Roman" w:cs="Times New Roman"/>
          <w:b/>
          <w:sz w:val="24"/>
          <w:szCs w:val="24"/>
        </w:rPr>
      </w:pPr>
      <w:r w:rsidRPr="00B22D8B">
        <w:rPr>
          <w:rFonts w:ascii="Times New Roman" w:eastAsia="Times New Roman" w:hAnsi="Times New Roman" w:cs="Times New Roman"/>
          <w:b/>
          <w:sz w:val="24"/>
          <w:szCs w:val="24"/>
        </w:rPr>
        <w:t>- 8:00 đến 23:00 ngày 03/02/2025</w:t>
      </w:r>
    </w:p>
    <w:p w:rsidR="006B237C" w:rsidRPr="00B22D8B" w:rsidRDefault="00D5727A">
      <w:pPr>
        <w:spacing w:line="360" w:lineRule="auto"/>
        <w:jc w:val="both"/>
        <w:rPr>
          <w:rFonts w:ascii="Times New Roman" w:eastAsia="Times New Roman" w:hAnsi="Times New Roman" w:cs="Times New Roman"/>
          <w:b/>
          <w:sz w:val="24"/>
          <w:szCs w:val="24"/>
        </w:rPr>
      </w:pPr>
      <w:r w:rsidRPr="00B22D8B">
        <w:rPr>
          <w:rFonts w:ascii="Times New Roman" w:eastAsia="Times New Roman" w:hAnsi="Times New Roman" w:cs="Times New Roman"/>
          <w:b/>
          <w:sz w:val="24"/>
          <w:szCs w:val="24"/>
        </w:rPr>
        <w:t>- 8:00 đến 23:00 ngày 04/02/2025</w:t>
      </w:r>
    </w:p>
    <w:p w:rsidR="006B237C" w:rsidRPr="00B22D8B" w:rsidRDefault="00D5727A">
      <w:pPr>
        <w:spacing w:line="360" w:lineRule="auto"/>
        <w:jc w:val="both"/>
        <w:rPr>
          <w:rFonts w:ascii="Times New Roman" w:eastAsia="Times New Roman" w:hAnsi="Times New Roman" w:cs="Times New Roman"/>
          <w:b/>
          <w:sz w:val="24"/>
          <w:szCs w:val="24"/>
        </w:rPr>
      </w:pPr>
      <w:r w:rsidRPr="00B22D8B">
        <w:rPr>
          <w:rFonts w:ascii="Times New Roman" w:eastAsia="Times New Roman" w:hAnsi="Times New Roman" w:cs="Times New Roman"/>
          <w:b/>
          <w:sz w:val="24"/>
          <w:szCs w:val="24"/>
        </w:rPr>
        <w:t>- 8:00 đến 23:00 ngày 05/02/2025</w:t>
      </w:r>
    </w:p>
    <w:p w:rsidR="006B237C" w:rsidRPr="00B22D8B" w:rsidRDefault="00D5727A">
      <w:pPr>
        <w:spacing w:line="360" w:lineRule="auto"/>
        <w:jc w:val="both"/>
        <w:rPr>
          <w:rFonts w:ascii="Times New Roman" w:eastAsia="Times New Roman" w:hAnsi="Times New Roman" w:cs="Times New Roman"/>
          <w:b/>
          <w:sz w:val="24"/>
          <w:szCs w:val="24"/>
        </w:rPr>
      </w:pPr>
      <w:r w:rsidRPr="00B22D8B">
        <w:rPr>
          <w:rFonts w:ascii="Times New Roman" w:eastAsia="Times New Roman" w:hAnsi="Times New Roman" w:cs="Times New Roman"/>
          <w:b/>
          <w:sz w:val="24"/>
          <w:szCs w:val="24"/>
        </w:rPr>
        <w:t>- 8:00 đến 23:00 ngày 06/02/2025</w:t>
      </w:r>
    </w:p>
    <w:p w:rsidR="006B237C" w:rsidRPr="00B22D8B" w:rsidRDefault="00D5727A">
      <w:pPr>
        <w:spacing w:line="360" w:lineRule="auto"/>
        <w:jc w:val="both"/>
        <w:rPr>
          <w:rFonts w:ascii="Times New Roman" w:eastAsia="Times New Roman" w:hAnsi="Times New Roman" w:cs="Times New Roman"/>
          <w:b/>
          <w:sz w:val="24"/>
          <w:szCs w:val="24"/>
        </w:rPr>
      </w:pPr>
      <w:r w:rsidRPr="00B22D8B">
        <w:rPr>
          <w:rFonts w:ascii="Times New Roman" w:eastAsia="Times New Roman" w:hAnsi="Times New Roman" w:cs="Times New Roman"/>
          <w:b/>
          <w:sz w:val="24"/>
          <w:szCs w:val="24"/>
        </w:rPr>
        <w:t>- 8:00 đến 23:00 ngày 07/02/2025</w:t>
      </w:r>
    </w:p>
    <w:p w:rsidR="006B237C" w:rsidRPr="00B22D8B" w:rsidRDefault="00D5727A">
      <w:pPr>
        <w:spacing w:line="360" w:lineRule="auto"/>
        <w:jc w:val="both"/>
        <w:rPr>
          <w:rFonts w:ascii="Times New Roman" w:eastAsia="Times New Roman" w:hAnsi="Times New Roman" w:cs="Times New Roman"/>
          <w:b/>
          <w:sz w:val="24"/>
          <w:szCs w:val="24"/>
        </w:rPr>
      </w:pPr>
      <w:r w:rsidRPr="00B22D8B">
        <w:rPr>
          <w:rFonts w:ascii="Times New Roman" w:eastAsia="Times New Roman" w:hAnsi="Times New Roman" w:cs="Times New Roman"/>
          <w:b/>
          <w:sz w:val="24"/>
          <w:szCs w:val="24"/>
        </w:rPr>
        <w:t>- 8:00 đến 23:00 ngày 08/02/2025</w:t>
      </w:r>
    </w:p>
    <w:p w:rsidR="006B237C" w:rsidRPr="00B22D8B" w:rsidRDefault="00D5727A">
      <w:pPr>
        <w:spacing w:line="360" w:lineRule="auto"/>
        <w:jc w:val="both"/>
        <w:rPr>
          <w:rFonts w:ascii="Times New Roman" w:eastAsia="Times New Roman" w:hAnsi="Times New Roman" w:cs="Times New Roman"/>
          <w:b/>
          <w:sz w:val="24"/>
          <w:szCs w:val="24"/>
        </w:rPr>
      </w:pPr>
      <w:r w:rsidRPr="00B22D8B">
        <w:rPr>
          <w:rFonts w:ascii="Times New Roman" w:eastAsia="Times New Roman" w:hAnsi="Times New Roman" w:cs="Times New Roman"/>
          <w:b/>
          <w:sz w:val="24"/>
          <w:szCs w:val="24"/>
        </w:rPr>
        <w:t>- 8:00 đến 23:00 ngày 09/02/2025</w:t>
      </w:r>
    </w:p>
    <w:p w:rsidR="006B237C" w:rsidRPr="00B22D8B" w:rsidRDefault="00D5727A">
      <w:pPr>
        <w:spacing w:line="360" w:lineRule="auto"/>
        <w:jc w:val="both"/>
        <w:rPr>
          <w:rFonts w:ascii="Times New Roman" w:eastAsia="Times New Roman" w:hAnsi="Times New Roman" w:cs="Times New Roman"/>
          <w:b/>
          <w:sz w:val="24"/>
          <w:szCs w:val="24"/>
        </w:rPr>
      </w:pPr>
      <w:r w:rsidRPr="00B22D8B">
        <w:rPr>
          <w:rFonts w:ascii="Times New Roman" w:eastAsia="Times New Roman" w:hAnsi="Times New Roman" w:cs="Times New Roman"/>
          <w:b/>
          <w:sz w:val="24"/>
          <w:szCs w:val="24"/>
        </w:rPr>
        <w:t>- 8:00 đến 23:00 ngày 10/02/2025</w:t>
      </w:r>
    </w:p>
    <w:p w:rsidR="006B237C" w:rsidRPr="00B22D8B" w:rsidRDefault="00D5727A">
      <w:pPr>
        <w:spacing w:line="360" w:lineRule="auto"/>
        <w:jc w:val="both"/>
        <w:rPr>
          <w:rFonts w:ascii="Times New Roman" w:eastAsia="Times New Roman" w:hAnsi="Times New Roman" w:cs="Times New Roman"/>
          <w:b/>
          <w:sz w:val="24"/>
          <w:szCs w:val="24"/>
        </w:rPr>
      </w:pPr>
      <w:r w:rsidRPr="00B22D8B">
        <w:rPr>
          <w:rFonts w:ascii="Times New Roman" w:eastAsia="Times New Roman" w:hAnsi="Times New Roman" w:cs="Times New Roman"/>
          <w:b/>
          <w:sz w:val="24"/>
          <w:szCs w:val="24"/>
        </w:rPr>
        <w:t>- 8:00 đến 23:00 ngày 11/02/2025</w:t>
      </w:r>
    </w:p>
    <w:p w:rsidR="006B237C" w:rsidRPr="00B22D8B" w:rsidRDefault="00D5727A">
      <w:pPr>
        <w:spacing w:line="360" w:lineRule="auto"/>
        <w:jc w:val="both"/>
        <w:rPr>
          <w:rFonts w:ascii="Times New Roman" w:eastAsia="Times New Roman" w:hAnsi="Times New Roman" w:cs="Times New Roman"/>
          <w:b/>
          <w:sz w:val="24"/>
          <w:szCs w:val="24"/>
        </w:rPr>
      </w:pPr>
      <w:r w:rsidRPr="00B22D8B">
        <w:rPr>
          <w:rFonts w:ascii="Times New Roman" w:eastAsia="Times New Roman" w:hAnsi="Times New Roman" w:cs="Times New Roman"/>
          <w:b/>
          <w:sz w:val="24"/>
          <w:szCs w:val="24"/>
        </w:rPr>
        <w:t>- 8:00 đến 23:00 ngày 12/02/2025</w:t>
      </w:r>
    </w:p>
    <w:p w:rsidR="006B237C" w:rsidRPr="00B22D8B" w:rsidRDefault="00D5727A">
      <w:pPr>
        <w:spacing w:line="360" w:lineRule="auto"/>
        <w:jc w:val="both"/>
        <w:rPr>
          <w:rFonts w:ascii="Times New Roman" w:eastAsia="Times New Roman" w:hAnsi="Times New Roman" w:cs="Times New Roman"/>
          <w:b/>
          <w:sz w:val="24"/>
          <w:szCs w:val="24"/>
        </w:rPr>
      </w:pPr>
      <w:r w:rsidRPr="00B22D8B">
        <w:rPr>
          <w:rFonts w:ascii="Times New Roman" w:eastAsia="Times New Roman" w:hAnsi="Times New Roman" w:cs="Times New Roman"/>
          <w:b/>
          <w:sz w:val="24"/>
          <w:szCs w:val="24"/>
        </w:rPr>
        <w:t>- 8:00 đến 23:00 ngày 13/02/2025</w:t>
      </w:r>
    </w:p>
    <w:p w:rsidR="006B237C" w:rsidRPr="00B22D8B" w:rsidRDefault="00D5727A">
      <w:pPr>
        <w:spacing w:line="360" w:lineRule="auto"/>
        <w:jc w:val="both"/>
        <w:rPr>
          <w:rFonts w:ascii="Times New Roman" w:eastAsia="Times New Roman" w:hAnsi="Times New Roman" w:cs="Times New Roman"/>
          <w:b/>
          <w:sz w:val="24"/>
          <w:szCs w:val="24"/>
        </w:rPr>
      </w:pPr>
      <w:r w:rsidRPr="00B22D8B">
        <w:rPr>
          <w:rFonts w:ascii="Times New Roman" w:eastAsia="Times New Roman" w:hAnsi="Times New Roman" w:cs="Times New Roman"/>
          <w:b/>
          <w:sz w:val="24"/>
          <w:szCs w:val="24"/>
        </w:rPr>
        <w:t>- 8:00 đến 23:00 ngày 14/02/2025</w:t>
      </w:r>
    </w:p>
    <w:p w:rsidR="006B237C" w:rsidRPr="00B22D8B" w:rsidRDefault="00D5727A">
      <w:pPr>
        <w:spacing w:line="360" w:lineRule="auto"/>
        <w:jc w:val="both"/>
        <w:rPr>
          <w:rFonts w:ascii="Times New Roman" w:eastAsia="Times New Roman" w:hAnsi="Times New Roman" w:cs="Times New Roman"/>
          <w:b/>
          <w:sz w:val="24"/>
          <w:szCs w:val="24"/>
        </w:rPr>
      </w:pPr>
      <w:r w:rsidRPr="00B22D8B">
        <w:rPr>
          <w:rFonts w:ascii="Times New Roman" w:eastAsia="Times New Roman" w:hAnsi="Times New Roman" w:cs="Times New Roman"/>
          <w:b/>
          <w:sz w:val="24"/>
          <w:szCs w:val="24"/>
        </w:rPr>
        <w:t>- 8:00 đến 23:00 ngày 15/02/2025</w:t>
      </w:r>
    </w:p>
    <w:p w:rsidR="006B237C" w:rsidRPr="00B22D8B" w:rsidRDefault="00D5727A">
      <w:pPr>
        <w:spacing w:line="360" w:lineRule="auto"/>
        <w:jc w:val="both"/>
        <w:rPr>
          <w:rFonts w:ascii="Times New Roman" w:eastAsia="Times New Roman" w:hAnsi="Times New Roman" w:cs="Times New Roman"/>
          <w:b/>
          <w:sz w:val="24"/>
          <w:szCs w:val="24"/>
        </w:rPr>
      </w:pPr>
      <w:r w:rsidRPr="00B22D8B">
        <w:rPr>
          <w:rFonts w:ascii="Times New Roman" w:eastAsia="Times New Roman" w:hAnsi="Times New Roman" w:cs="Times New Roman"/>
          <w:b/>
          <w:sz w:val="24"/>
          <w:szCs w:val="24"/>
        </w:rPr>
        <w:t>- 8:00 đến 23:00 ngày 16/02/2025</w:t>
      </w:r>
    </w:p>
    <w:p w:rsidR="006B237C" w:rsidRPr="00B22D8B" w:rsidRDefault="00D5727A">
      <w:pPr>
        <w:spacing w:line="360" w:lineRule="auto"/>
        <w:jc w:val="both"/>
        <w:rPr>
          <w:rFonts w:ascii="Times New Roman" w:eastAsia="Times New Roman" w:hAnsi="Times New Roman" w:cs="Times New Roman"/>
          <w:b/>
          <w:sz w:val="24"/>
          <w:szCs w:val="24"/>
        </w:rPr>
      </w:pPr>
      <w:r w:rsidRPr="00B22D8B">
        <w:rPr>
          <w:rFonts w:ascii="Times New Roman" w:eastAsia="Times New Roman" w:hAnsi="Times New Roman" w:cs="Times New Roman"/>
          <w:b/>
          <w:sz w:val="24"/>
          <w:szCs w:val="24"/>
        </w:rPr>
        <w:t>- 8:00 đến 23:00 ngày 17/02/2025</w:t>
      </w:r>
    </w:p>
    <w:p w:rsidR="006B237C" w:rsidRPr="00B22D8B" w:rsidRDefault="00D5727A">
      <w:pPr>
        <w:spacing w:line="360" w:lineRule="auto"/>
        <w:jc w:val="both"/>
        <w:rPr>
          <w:rFonts w:ascii="Times New Roman" w:eastAsia="Times New Roman" w:hAnsi="Times New Roman" w:cs="Times New Roman"/>
          <w:b/>
          <w:sz w:val="24"/>
          <w:szCs w:val="24"/>
        </w:rPr>
      </w:pPr>
      <w:r w:rsidRPr="00B22D8B">
        <w:rPr>
          <w:rFonts w:ascii="Times New Roman" w:eastAsia="Times New Roman" w:hAnsi="Times New Roman" w:cs="Times New Roman"/>
          <w:b/>
          <w:sz w:val="24"/>
          <w:szCs w:val="24"/>
        </w:rPr>
        <w:t>- 8:00 đến 23:00 ngày 18/02/2025</w:t>
      </w:r>
    </w:p>
    <w:p w:rsidR="006B237C" w:rsidRPr="00B22D8B" w:rsidRDefault="00D5727A">
      <w:pPr>
        <w:spacing w:line="360" w:lineRule="auto"/>
        <w:jc w:val="both"/>
        <w:rPr>
          <w:rFonts w:ascii="Times New Roman" w:eastAsia="Times New Roman" w:hAnsi="Times New Roman" w:cs="Times New Roman"/>
          <w:b/>
          <w:sz w:val="24"/>
          <w:szCs w:val="24"/>
        </w:rPr>
      </w:pPr>
      <w:r w:rsidRPr="00B22D8B">
        <w:rPr>
          <w:rFonts w:ascii="Times New Roman" w:eastAsia="Times New Roman" w:hAnsi="Times New Roman" w:cs="Times New Roman"/>
          <w:b/>
          <w:sz w:val="24"/>
          <w:szCs w:val="24"/>
        </w:rPr>
        <w:t>- 8:00 đến 23:00 ngày 19/02/2025</w:t>
      </w:r>
    </w:p>
    <w:p w:rsidR="006B237C" w:rsidRPr="00B22D8B" w:rsidRDefault="00D5727A">
      <w:pPr>
        <w:spacing w:line="360" w:lineRule="auto"/>
        <w:jc w:val="both"/>
        <w:rPr>
          <w:rFonts w:ascii="Times New Roman" w:eastAsia="Times New Roman" w:hAnsi="Times New Roman" w:cs="Times New Roman"/>
          <w:b/>
          <w:sz w:val="24"/>
          <w:szCs w:val="24"/>
        </w:rPr>
      </w:pPr>
      <w:r w:rsidRPr="00B22D8B">
        <w:rPr>
          <w:rFonts w:ascii="Times New Roman" w:eastAsia="Times New Roman" w:hAnsi="Times New Roman" w:cs="Times New Roman"/>
          <w:b/>
          <w:sz w:val="24"/>
          <w:szCs w:val="24"/>
        </w:rPr>
        <w:lastRenderedPageBreak/>
        <w:t>- 8:00 đến 23:00 ngày 20/02/2025</w:t>
      </w:r>
    </w:p>
    <w:p w:rsidR="006B237C" w:rsidRPr="00B22D8B" w:rsidRDefault="00D5727A">
      <w:pPr>
        <w:spacing w:line="360" w:lineRule="auto"/>
        <w:jc w:val="both"/>
        <w:rPr>
          <w:rFonts w:ascii="Times New Roman" w:eastAsia="Times New Roman" w:hAnsi="Times New Roman" w:cs="Times New Roman"/>
        </w:rPr>
      </w:pPr>
      <w:r w:rsidRPr="00B22D8B">
        <w:rPr>
          <w:rFonts w:ascii="Times New Roman" w:eastAsia="Times New Roman" w:hAnsi="Times New Roman" w:cs="Times New Roman"/>
          <w:b/>
        </w:rPr>
        <w:t xml:space="preserve">5. Hàng hóa, dịch vụ khuyến mại: </w:t>
      </w:r>
      <w:r w:rsidRPr="00B22D8B">
        <w:rPr>
          <w:rFonts w:ascii="Times New Roman" w:eastAsia="Times New Roman" w:hAnsi="Times New Roman" w:cs="Times New Roman"/>
        </w:rPr>
        <w:t>Tất cả hàng hóa tại hệ thống cửa hàng Con Cưng (tã, sữa, đồ chơi,</w:t>
      </w:r>
    </w:p>
    <w:p w:rsidR="006B237C" w:rsidRPr="00B22D8B" w:rsidRDefault="00D5727A">
      <w:pPr>
        <w:spacing w:line="360" w:lineRule="auto"/>
        <w:jc w:val="both"/>
        <w:rPr>
          <w:rFonts w:ascii="Times New Roman" w:eastAsia="Times New Roman" w:hAnsi="Times New Roman" w:cs="Times New Roman"/>
        </w:rPr>
      </w:pPr>
      <w:r w:rsidRPr="00B22D8B">
        <w:rPr>
          <w:rFonts w:ascii="Times New Roman" w:eastAsia="Times New Roman" w:hAnsi="Times New Roman" w:cs="Times New Roman"/>
        </w:rPr>
        <w:t>hóa mỹ phẩm, đồ dùng em bé, thời trang, phụ kiện...) (trừ các hàng hóa bị cấm khuyến mại theo quy định</w:t>
      </w:r>
    </w:p>
    <w:p w:rsidR="006B237C" w:rsidRPr="00B22D8B" w:rsidRDefault="00D5727A">
      <w:pPr>
        <w:spacing w:line="360" w:lineRule="auto"/>
        <w:jc w:val="both"/>
        <w:rPr>
          <w:rFonts w:ascii="Times New Roman" w:eastAsia="Times New Roman" w:hAnsi="Times New Roman" w:cs="Times New Roman"/>
        </w:rPr>
      </w:pPr>
      <w:r w:rsidRPr="00B22D8B">
        <w:rPr>
          <w:rFonts w:ascii="Times New Roman" w:eastAsia="Times New Roman" w:hAnsi="Times New Roman" w:cs="Times New Roman"/>
        </w:rPr>
        <w:t>của pháp luật)</w:t>
      </w:r>
    </w:p>
    <w:p w:rsidR="006B237C" w:rsidRPr="00B22D8B" w:rsidRDefault="00D5727A">
      <w:pPr>
        <w:spacing w:line="360" w:lineRule="auto"/>
        <w:jc w:val="both"/>
        <w:rPr>
          <w:rFonts w:ascii="Times New Roman" w:eastAsia="Times New Roman" w:hAnsi="Times New Roman" w:cs="Times New Roman"/>
          <w:b/>
        </w:rPr>
      </w:pPr>
      <w:r w:rsidRPr="00B22D8B">
        <w:rPr>
          <w:rFonts w:ascii="Times New Roman" w:eastAsia="Times New Roman" w:hAnsi="Times New Roman" w:cs="Times New Roman"/>
          <w:b/>
        </w:rPr>
        <w:t>6. Hàng hóa, dịch vụ dùng để khuyến mại:</w:t>
      </w:r>
    </w:p>
    <w:p w:rsidR="006B237C" w:rsidRDefault="00D5727A">
      <w:pPr>
        <w:spacing w:line="360" w:lineRule="auto"/>
        <w:jc w:val="both"/>
        <w:rPr>
          <w:rFonts w:ascii="Times New Roman" w:eastAsia="Times New Roman" w:hAnsi="Times New Roman" w:cs="Times New Roman"/>
          <w:b/>
        </w:rPr>
      </w:pPr>
      <w:r w:rsidRPr="00B22D8B">
        <w:rPr>
          <w:rFonts w:ascii="Times New Roman" w:eastAsia="Times New Roman" w:hAnsi="Times New Roman" w:cs="Times New Roman"/>
          <w:b/>
        </w:rPr>
        <w:t>6.1. Các mã giảm giá chi tiết từ 8:00 đến 23:00 ngày 01/02/2025:</w:t>
      </w:r>
    </w:p>
    <w:p w:rsidR="006B237C" w:rsidRDefault="006B237C">
      <w:pPr>
        <w:spacing w:line="360" w:lineRule="auto"/>
        <w:jc w:val="both"/>
        <w:rPr>
          <w:rFonts w:ascii="Times New Roman" w:eastAsia="Times New Roman" w:hAnsi="Times New Roman" w:cs="Times New Roman"/>
          <w:b/>
        </w:rPr>
      </w:pPr>
    </w:p>
    <w:sdt>
      <w:sdtPr>
        <w:tag w:val="goog_rdk_0"/>
        <w:id w:val="-230241569"/>
        <w:lock w:val="contentLocked"/>
      </w:sdtPr>
      <w:sdtEndPr/>
      <w:sdtContent>
        <w:tbl>
          <w:tblPr>
            <w:tblStyle w:val="affffffffffff7"/>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6B237C">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01/02/2025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6B237C" w:rsidRDefault="006B237C">
                <w:pPr>
                  <w:widowControl w:val="0"/>
                  <w:jc w:val="right"/>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8:00 đến 23:00 ngày 01/02/2025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8:00 đến 23:00 ngày 01/02/2025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8:00 đến 23:00 ngày 01/02/2025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240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8:00 đến 23:00 ngày 01/02/2025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11.200.000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8:00 đến 23:00 ngày 01/02/2025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34</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4.080.000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7</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8:00 đến 23:00 ngày 01/02/2025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2.490.000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8:00 đến 23:00 ngày 01/02/2025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11%</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8:00 đến 23:00 ngày 01/02/2025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8:00 đến 23:00 ngày 01/02/2025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8:00 đến 23:00 ngày 01/02/2025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8:00 đến 23:00 ngày 01/02/2025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33.400.000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 tối đa 200.000đ khi mua đơn hàng online từ 599.000đ (Áp dụng mua tất cả sản phẩm trừ tã sữa)</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8:00 đến 23:00 ngày 01/02/2025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6.600.000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 và sữa Abbott)</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8:00 đến 23:00 ngày 01/02/2025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209.570.000</w:t>
                </w:r>
              </w:p>
            </w:tc>
          </w:tr>
        </w:tbl>
      </w:sdtContent>
    </w:sdt>
    <w:p w:rsidR="006B237C" w:rsidRDefault="006B237C">
      <w:pPr>
        <w:spacing w:line="360" w:lineRule="auto"/>
        <w:jc w:val="both"/>
        <w:rPr>
          <w:rFonts w:ascii="Times New Roman" w:eastAsia="Times New Roman" w:hAnsi="Times New Roman" w:cs="Times New Roman"/>
          <w:b/>
        </w:rPr>
      </w:pPr>
    </w:p>
    <w:p w:rsidR="006B237C" w:rsidRDefault="00D5727A">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6.2. Các mã giảm giá chi tiết từ 8:00 đến 23:00 ngày 02/02/2025:</w:t>
      </w:r>
    </w:p>
    <w:p w:rsidR="006B237C" w:rsidRDefault="006B237C">
      <w:pPr>
        <w:spacing w:line="360" w:lineRule="auto"/>
        <w:jc w:val="both"/>
        <w:rPr>
          <w:rFonts w:ascii="Times New Roman" w:eastAsia="Times New Roman" w:hAnsi="Times New Roman" w:cs="Times New Roman"/>
          <w:b/>
        </w:rPr>
      </w:pPr>
    </w:p>
    <w:sdt>
      <w:sdtPr>
        <w:tag w:val="goog_rdk_1"/>
        <w:id w:val="1109625879"/>
        <w:lock w:val="contentLocked"/>
      </w:sdtPr>
      <w:sdtEndPr/>
      <w:sdtContent>
        <w:tbl>
          <w:tblPr>
            <w:tblStyle w:val="affffffffffff8"/>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6B237C">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02/02/2025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884"/>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6B237C" w:rsidRDefault="006B237C">
                <w:pPr>
                  <w:widowControl w:val="0"/>
                  <w:jc w:val="right"/>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02/02/2025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02/02/2025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02/02/2025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240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02/02/2025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11.200.000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02/02/2025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34</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4.080.000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02/02/2025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2.490.000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02/02/2025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11%</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9</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02/02/2025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02/02/2025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02/02/2025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02/02/2025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33.400.000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 tối đa 200.000đ khi mua đơn hàng online từ 599.000đ (Áp dụng mua tất cả sản phẩm trừ tã sữa)</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02/02/2025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6.600.000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 và sữa Abbott)</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02/02/2025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209.570.000</w:t>
                </w:r>
              </w:p>
            </w:tc>
          </w:tr>
        </w:tbl>
      </w:sdtContent>
    </w:sdt>
    <w:p w:rsidR="006B237C" w:rsidRDefault="006B237C">
      <w:pPr>
        <w:spacing w:line="360" w:lineRule="auto"/>
        <w:jc w:val="both"/>
        <w:rPr>
          <w:rFonts w:ascii="Times New Roman" w:eastAsia="Times New Roman" w:hAnsi="Times New Roman" w:cs="Times New Roman"/>
          <w:b/>
        </w:rPr>
      </w:pPr>
    </w:p>
    <w:p w:rsidR="006B237C" w:rsidRDefault="00D5727A">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6.3. Các mã giảm giá chi tiết từ 8:00 đến 23:00 ngày 03/02/2025:</w:t>
      </w:r>
    </w:p>
    <w:p w:rsidR="006B237C" w:rsidRDefault="006B237C">
      <w:pPr>
        <w:spacing w:line="360" w:lineRule="auto"/>
        <w:jc w:val="both"/>
        <w:rPr>
          <w:rFonts w:ascii="Times New Roman" w:eastAsia="Times New Roman" w:hAnsi="Times New Roman" w:cs="Times New Roman"/>
          <w:b/>
        </w:rPr>
      </w:pPr>
    </w:p>
    <w:sdt>
      <w:sdtPr>
        <w:tag w:val="goog_rdk_2"/>
        <w:id w:val="-1622067768"/>
        <w:lock w:val="contentLocked"/>
      </w:sdtPr>
      <w:sdtEndPr/>
      <w:sdtContent>
        <w:tbl>
          <w:tblPr>
            <w:tblStyle w:val="affffffffffff9"/>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6B237C">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03/02/2025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884"/>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w:t>
                </w:r>
              </w:p>
              <w:p w:rsidR="006B237C" w:rsidRDefault="006B237C">
                <w:pPr>
                  <w:widowControl w:val="0"/>
                  <w:jc w:val="right"/>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03/02/2025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03/02/2025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03/02/2025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240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03/02/2025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11.200.000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03/02/2025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34</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4.080.000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03/02/2025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2.490.000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03/02/2025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11%</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03/02/2025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03/02/2025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11</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03/02/2025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03/02/2025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33.400.000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 tối đa 200.000đ khi mua đơn hàng online từ 599.000đ (Áp dụng mua tất cả sản phẩm trừ tã sữa)</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03/02/2025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6.600.000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 và sữa Abbott)</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03/02/2025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209.570.000</w:t>
                </w:r>
              </w:p>
            </w:tc>
          </w:tr>
        </w:tbl>
      </w:sdtContent>
    </w:sdt>
    <w:p w:rsidR="006B237C" w:rsidRDefault="006B237C">
      <w:pPr>
        <w:spacing w:line="360" w:lineRule="auto"/>
        <w:jc w:val="both"/>
        <w:rPr>
          <w:rFonts w:ascii="Times New Roman" w:eastAsia="Times New Roman" w:hAnsi="Times New Roman" w:cs="Times New Roman"/>
          <w:b/>
        </w:rPr>
      </w:pPr>
    </w:p>
    <w:p w:rsidR="006B237C" w:rsidRDefault="00D5727A">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6.4. Các mã giảm giá chi tiết từ 8:00 đến 23:00 ngày 04/02/2025</w:t>
      </w:r>
    </w:p>
    <w:p w:rsidR="006B237C" w:rsidRDefault="006B237C">
      <w:pPr>
        <w:spacing w:line="360" w:lineRule="auto"/>
        <w:jc w:val="both"/>
        <w:rPr>
          <w:rFonts w:ascii="Times New Roman" w:eastAsia="Times New Roman" w:hAnsi="Times New Roman" w:cs="Times New Roman"/>
          <w:b/>
        </w:rPr>
      </w:pPr>
    </w:p>
    <w:sdt>
      <w:sdtPr>
        <w:tag w:val="goog_rdk_3"/>
        <w:id w:val="-2004425546"/>
        <w:lock w:val="contentLocked"/>
      </w:sdtPr>
      <w:sdtEndPr/>
      <w:sdtContent>
        <w:tbl>
          <w:tblPr>
            <w:tblStyle w:val="affffffffffffa"/>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6B237C">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04/02/2025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884"/>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6B237C" w:rsidRDefault="006B237C">
                <w:pPr>
                  <w:widowControl w:val="0"/>
                  <w:jc w:val="right"/>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04/02/2025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04/02/2025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04/02/2025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240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04/02/2025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11.200.000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04/02/2025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34</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4.080.000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04/02/2025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2.490.000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04/02/2025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11%</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04/02/2025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04/02/2025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04/02/2025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04/02/2025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33.400.000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 tối đa 200.000đ khi mua đơn hàng online từ 599.000đ (Áp dụng mua tất cả sản phẩm trừ tã sữa)</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04/02/2025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6.600.000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 và sữa Abbott)</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04/02/2025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209.570.000</w:t>
                </w:r>
              </w:p>
            </w:tc>
          </w:tr>
        </w:tbl>
      </w:sdtContent>
    </w:sdt>
    <w:p w:rsidR="006B237C" w:rsidRDefault="006B237C">
      <w:pPr>
        <w:spacing w:line="360" w:lineRule="auto"/>
        <w:jc w:val="both"/>
        <w:rPr>
          <w:rFonts w:ascii="Times New Roman" w:eastAsia="Times New Roman" w:hAnsi="Times New Roman" w:cs="Times New Roman"/>
          <w:b/>
        </w:rPr>
      </w:pPr>
    </w:p>
    <w:p w:rsidR="006B237C" w:rsidRDefault="00D5727A">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6.5. Các mã giảm giá chi tiết từ 8:00 đến 23:00 ngày 05/02/2025</w:t>
      </w:r>
    </w:p>
    <w:p w:rsidR="006B237C" w:rsidRDefault="006B237C">
      <w:pPr>
        <w:spacing w:line="360" w:lineRule="auto"/>
        <w:jc w:val="both"/>
        <w:rPr>
          <w:rFonts w:ascii="Times New Roman" w:eastAsia="Times New Roman" w:hAnsi="Times New Roman" w:cs="Times New Roman"/>
          <w:b/>
        </w:rPr>
      </w:pPr>
    </w:p>
    <w:sdt>
      <w:sdtPr>
        <w:tag w:val="goog_rdk_4"/>
        <w:id w:val="2098199732"/>
        <w:lock w:val="contentLocked"/>
      </w:sdtPr>
      <w:sdtEndPr/>
      <w:sdtContent>
        <w:tbl>
          <w:tblPr>
            <w:tblStyle w:val="affffffffffffb"/>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6B237C">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05/02/2025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884"/>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6B237C" w:rsidRDefault="006B237C">
                <w:pPr>
                  <w:widowControl w:val="0"/>
                  <w:jc w:val="right"/>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05/02/2025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05/02/2025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05/02/2025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240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05/02/2025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11.200.000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29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05/02/2025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34</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4.080.000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05/02/2025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2.490.000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05/02/2025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11%</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05/02/2025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05/02/2025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05/02/2025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05/02/2025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33.400.000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 tối đa 200.000đ khi mua đơn hàng online từ 599.000đ (Áp dụng mua tất cả sản phẩm trừ tã sữa)</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05/02/2025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6.600.000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 và sữa Abbott)</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05/02/2025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209.570.000</w:t>
                </w:r>
              </w:p>
            </w:tc>
          </w:tr>
        </w:tbl>
      </w:sdtContent>
    </w:sdt>
    <w:p w:rsidR="006B237C" w:rsidRDefault="006B237C">
      <w:pPr>
        <w:spacing w:line="360" w:lineRule="auto"/>
        <w:jc w:val="both"/>
        <w:rPr>
          <w:rFonts w:ascii="Times New Roman" w:eastAsia="Times New Roman" w:hAnsi="Times New Roman" w:cs="Times New Roman"/>
          <w:b/>
        </w:rPr>
      </w:pPr>
    </w:p>
    <w:p w:rsidR="006B237C" w:rsidRDefault="006B237C">
      <w:pPr>
        <w:spacing w:line="360" w:lineRule="auto"/>
        <w:jc w:val="both"/>
        <w:rPr>
          <w:rFonts w:ascii="Times New Roman" w:eastAsia="Times New Roman" w:hAnsi="Times New Roman" w:cs="Times New Roman"/>
          <w:b/>
        </w:rPr>
      </w:pPr>
    </w:p>
    <w:p w:rsidR="006B237C" w:rsidRDefault="00D5727A">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6.6. Các mã giảm giá chi tiết từ 8:00 đến 23:00 ngày 06/02/2025</w:t>
      </w:r>
    </w:p>
    <w:p w:rsidR="006B237C" w:rsidRDefault="006B237C">
      <w:pPr>
        <w:spacing w:line="360" w:lineRule="auto"/>
        <w:jc w:val="both"/>
        <w:rPr>
          <w:rFonts w:ascii="Times New Roman" w:eastAsia="Times New Roman" w:hAnsi="Times New Roman" w:cs="Times New Roman"/>
          <w:b/>
        </w:rPr>
      </w:pPr>
    </w:p>
    <w:sdt>
      <w:sdtPr>
        <w:tag w:val="goog_rdk_5"/>
        <w:id w:val="-75054551"/>
        <w:lock w:val="contentLocked"/>
      </w:sdtPr>
      <w:sdtEndPr/>
      <w:sdtContent>
        <w:tbl>
          <w:tblPr>
            <w:tblStyle w:val="affffffffffffc"/>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6B237C">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06/02/2025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884"/>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6B237C" w:rsidRDefault="006B237C">
                <w:pPr>
                  <w:widowControl w:val="0"/>
                  <w:jc w:val="right"/>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06/02/2025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06/02/2025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06/02/2025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240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06/02/2025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11.200.000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06/02/2025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34</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4.080.000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06/02/2025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2.490.000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8</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06/02/2025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11%</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06/02/2025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06/02/2025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06/02/2025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06/02/2025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33.400.000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 tối đa 200.000đ khi mua đơn hàng online từ 599.000đ (Áp dụng mua tất cả sản phẩm trừ tã sữa)</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06/02/2025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6.600.000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 và sữa Abbott)</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06/02/2025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209.570.000</w:t>
                </w:r>
              </w:p>
            </w:tc>
          </w:tr>
        </w:tbl>
      </w:sdtContent>
    </w:sdt>
    <w:p w:rsidR="006B237C" w:rsidRDefault="006B237C">
      <w:pPr>
        <w:spacing w:line="360" w:lineRule="auto"/>
        <w:jc w:val="both"/>
        <w:rPr>
          <w:rFonts w:ascii="Times New Roman" w:eastAsia="Times New Roman" w:hAnsi="Times New Roman" w:cs="Times New Roman"/>
          <w:b/>
        </w:rPr>
      </w:pPr>
    </w:p>
    <w:p w:rsidR="006B237C" w:rsidRDefault="00D5727A">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6.7. Các mã giảm giá chi tiết từ 8:00 đến 23:00 ngày  07/02/2025</w:t>
      </w:r>
    </w:p>
    <w:p w:rsidR="006B237C" w:rsidRDefault="006B237C">
      <w:pPr>
        <w:spacing w:line="360" w:lineRule="auto"/>
        <w:jc w:val="both"/>
        <w:rPr>
          <w:rFonts w:ascii="Times New Roman" w:eastAsia="Times New Roman" w:hAnsi="Times New Roman" w:cs="Times New Roman"/>
          <w:b/>
        </w:rPr>
      </w:pPr>
    </w:p>
    <w:sdt>
      <w:sdtPr>
        <w:tag w:val="goog_rdk_6"/>
        <w:id w:val="53436191"/>
        <w:lock w:val="contentLocked"/>
      </w:sdtPr>
      <w:sdtEndPr/>
      <w:sdtContent>
        <w:tbl>
          <w:tblPr>
            <w:tblStyle w:val="affffffffffffd"/>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6B237C">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w:t>
                </w: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884"/>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6B237C" w:rsidRDefault="006B237C">
                <w:pPr>
                  <w:widowControl w:val="0"/>
                  <w:jc w:val="right"/>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240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11.200.000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07/02/2025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34</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4.080.000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2.490.000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11%</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10</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33.400.000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 tối đa 200.000đ khi mua đơn hàng online từ 599.000đ (Áp dụng mua tất cả sản phẩm trừ tã sữa)</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6.600.000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 và sữa Abbott)</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209.570.000</w:t>
                </w:r>
              </w:p>
            </w:tc>
          </w:tr>
        </w:tbl>
      </w:sdtContent>
    </w:sdt>
    <w:p w:rsidR="006B237C" w:rsidRDefault="006B237C">
      <w:pPr>
        <w:spacing w:line="360" w:lineRule="auto"/>
        <w:jc w:val="both"/>
        <w:rPr>
          <w:rFonts w:ascii="Times New Roman" w:eastAsia="Times New Roman" w:hAnsi="Times New Roman" w:cs="Times New Roman"/>
          <w:b/>
        </w:rPr>
      </w:pPr>
    </w:p>
    <w:p w:rsidR="006B237C" w:rsidRDefault="006B237C">
      <w:pPr>
        <w:spacing w:line="360" w:lineRule="auto"/>
        <w:jc w:val="both"/>
        <w:rPr>
          <w:rFonts w:ascii="Times New Roman" w:eastAsia="Times New Roman" w:hAnsi="Times New Roman" w:cs="Times New Roman"/>
          <w:b/>
        </w:rPr>
      </w:pPr>
    </w:p>
    <w:p w:rsidR="006B237C" w:rsidRDefault="00D5727A">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6.8. Các mã giảm giá chi tiết từ 8:00 đến 23:00 ngày  08/02/2025</w:t>
      </w:r>
    </w:p>
    <w:p w:rsidR="006B237C" w:rsidRDefault="006B237C">
      <w:pPr>
        <w:spacing w:line="360" w:lineRule="auto"/>
        <w:jc w:val="both"/>
        <w:rPr>
          <w:rFonts w:ascii="Times New Roman" w:eastAsia="Times New Roman" w:hAnsi="Times New Roman" w:cs="Times New Roman"/>
          <w:b/>
        </w:rPr>
      </w:pPr>
    </w:p>
    <w:sdt>
      <w:sdtPr>
        <w:tag w:val="goog_rdk_7"/>
        <w:id w:val="2062293614"/>
        <w:lock w:val="contentLocked"/>
      </w:sdtPr>
      <w:sdtEndPr/>
      <w:sdtContent>
        <w:tbl>
          <w:tblPr>
            <w:tblStyle w:val="affffffffffffe"/>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6B237C">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884"/>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6B237C" w:rsidRDefault="006B237C">
                <w:pPr>
                  <w:widowControl w:val="0"/>
                  <w:jc w:val="right"/>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240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11.200.000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08/02/2025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34</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4.080.000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2.490.000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11%</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33.400.000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 tối đa 200.000đ khi mua đơn hàng online từ 599.000đ (Áp dụng mua tất cả sản phẩm trừ tã sữa)</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6.600.000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 và sữa Abbott)</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209.570.000</w:t>
                </w:r>
              </w:p>
            </w:tc>
          </w:tr>
        </w:tbl>
      </w:sdtContent>
    </w:sdt>
    <w:p w:rsidR="006B237C" w:rsidRDefault="006B237C">
      <w:pPr>
        <w:spacing w:line="360" w:lineRule="auto"/>
        <w:jc w:val="both"/>
        <w:rPr>
          <w:rFonts w:ascii="Times New Roman" w:eastAsia="Times New Roman" w:hAnsi="Times New Roman" w:cs="Times New Roman"/>
          <w:b/>
        </w:rPr>
      </w:pPr>
    </w:p>
    <w:p w:rsidR="006B237C" w:rsidRDefault="006B237C">
      <w:pPr>
        <w:spacing w:line="360" w:lineRule="auto"/>
        <w:jc w:val="both"/>
        <w:rPr>
          <w:rFonts w:ascii="Times New Roman" w:eastAsia="Times New Roman" w:hAnsi="Times New Roman" w:cs="Times New Roman"/>
          <w:b/>
        </w:rPr>
      </w:pPr>
    </w:p>
    <w:p w:rsidR="006B237C" w:rsidRDefault="00D5727A">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6.9. Các mã giảm giá chi tiết từ 8:00 đến 23:00 ngày   09/02/2025</w:t>
      </w:r>
    </w:p>
    <w:p w:rsidR="006B237C" w:rsidRDefault="006B237C">
      <w:pPr>
        <w:spacing w:line="360" w:lineRule="auto"/>
        <w:jc w:val="both"/>
        <w:rPr>
          <w:rFonts w:ascii="Times New Roman" w:eastAsia="Times New Roman" w:hAnsi="Times New Roman" w:cs="Times New Roman"/>
          <w:b/>
        </w:rPr>
      </w:pPr>
    </w:p>
    <w:sdt>
      <w:sdtPr>
        <w:tag w:val="goog_rdk_8"/>
        <w:id w:val="1053969213"/>
        <w:lock w:val="contentLocked"/>
      </w:sdtPr>
      <w:sdtEndPr/>
      <w:sdtContent>
        <w:tbl>
          <w:tblPr>
            <w:tblStyle w:val="afffffffffffff"/>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6B237C">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884"/>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6B237C" w:rsidRDefault="006B237C">
                <w:pPr>
                  <w:widowControl w:val="0"/>
                  <w:jc w:val="right"/>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 xml:space="preserve">Tặng mã giảm giá 10% tối đa 100.000đ khi mua đơn hàng online từ 999.000đ (Áp dụng mua tất cả sản phẩm trừ sữa </w:t>
                </w:r>
                <w:r>
                  <w:rPr>
                    <w:rFonts w:ascii="Times New Roman" w:eastAsia="Times New Roman" w:hAnsi="Times New Roman" w:cs="Times New Roman"/>
                  </w:rPr>
                  <w:lastRenderedPageBreak/>
                  <w:t>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8:00 đến 23:00 ngày 09/02/2025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240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11.200.000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09/02/2025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34</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4.080.000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2.490.000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11%</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33.400.000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 tối đa 200.000đ khi mua đơn hàng online từ 599.000đ (Áp dụng mua tất cả sản phẩm trừ tã sữa)</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6.600.000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 và sữa Abbott)</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209.570.000</w:t>
                </w:r>
              </w:p>
            </w:tc>
          </w:tr>
        </w:tbl>
      </w:sdtContent>
    </w:sdt>
    <w:p w:rsidR="006B237C" w:rsidRDefault="006B237C">
      <w:pPr>
        <w:spacing w:line="360" w:lineRule="auto"/>
        <w:jc w:val="both"/>
        <w:rPr>
          <w:rFonts w:ascii="Times New Roman" w:eastAsia="Times New Roman" w:hAnsi="Times New Roman" w:cs="Times New Roman"/>
          <w:b/>
        </w:rPr>
      </w:pPr>
    </w:p>
    <w:p w:rsidR="006B237C" w:rsidRDefault="006B237C">
      <w:pPr>
        <w:spacing w:line="360" w:lineRule="auto"/>
        <w:jc w:val="both"/>
        <w:rPr>
          <w:rFonts w:ascii="Times New Roman" w:eastAsia="Times New Roman" w:hAnsi="Times New Roman" w:cs="Times New Roman"/>
          <w:b/>
        </w:rPr>
      </w:pPr>
    </w:p>
    <w:p w:rsidR="006B237C" w:rsidRDefault="00D5727A">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6.10. Các mã giảm giá chi tiết từ 8:00 đến 23:00 ngày  10/02/2025</w:t>
      </w:r>
    </w:p>
    <w:p w:rsidR="006B237C" w:rsidRDefault="006B237C">
      <w:pPr>
        <w:spacing w:line="360" w:lineRule="auto"/>
        <w:jc w:val="both"/>
        <w:rPr>
          <w:rFonts w:ascii="Times New Roman" w:eastAsia="Times New Roman" w:hAnsi="Times New Roman" w:cs="Times New Roman"/>
          <w:b/>
        </w:rPr>
      </w:pPr>
    </w:p>
    <w:sdt>
      <w:sdtPr>
        <w:tag w:val="goog_rdk_9"/>
        <w:id w:val="-1479153605"/>
        <w:lock w:val="contentLocked"/>
      </w:sdtPr>
      <w:sdtEndPr/>
      <w:sdtContent>
        <w:tbl>
          <w:tblPr>
            <w:tblStyle w:val="afffffffffffff0"/>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6B237C">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884"/>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6B237C" w:rsidRDefault="006B237C">
                <w:pPr>
                  <w:widowControl w:val="0"/>
                  <w:jc w:val="right"/>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240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5</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11.200.000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10/02/2025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34</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4.080.000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2.490.000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11%</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33.400.000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 tối đa 200.000đ khi mua đơn hàng online từ 599.000đ (Áp dụng mua tất cả sản phẩm trừ tã sữa)</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6.600.000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 và sữa Abbott)</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209.570.000</w:t>
                </w:r>
              </w:p>
            </w:tc>
          </w:tr>
        </w:tbl>
      </w:sdtContent>
    </w:sdt>
    <w:p w:rsidR="006B237C" w:rsidRDefault="006B237C">
      <w:pPr>
        <w:spacing w:line="360" w:lineRule="auto"/>
        <w:jc w:val="both"/>
        <w:rPr>
          <w:rFonts w:ascii="Times New Roman" w:eastAsia="Times New Roman" w:hAnsi="Times New Roman" w:cs="Times New Roman"/>
          <w:b/>
        </w:rPr>
      </w:pPr>
    </w:p>
    <w:p w:rsidR="006B237C" w:rsidRDefault="00D5727A">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6.11. Các mã giảm giá chi tiết từ 8:00 đến 23:00 ngày  11/02/2025</w:t>
      </w:r>
    </w:p>
    <w:p w:rsidR="006B237C" w:rsidRDefault="006B237C">
      <w:pPr>
        <w:spacing w:line="360" w:lineRule="auto"/>
        <w:jc w:val="both"/>
        <w:rPr>
          <w:rFonts w:ascii="Times New Roman" w:eastAsia="Times New Roman" w:hAnsi="Times New Roman" w:cs="Times New Roman"/>
          <w:b/>
        </w:rPr>
      </w:pPr>
    </w:p>
    <w:sdt>
      <w:sdtPr>
        <w:tag w:val="goog_rdk_10"/>
        <w:id w:val="-1724288761"/>
        <w:lock w:val="contentLocked"/>
      </w:sdtPr>
      <w:sdtEndPr/>
      <w:sdtContent>
        <w:tbl>
          <w:tblPr>
            <w:tblStyle w:val="afffffffffffff1"/>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6B237C">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884"/>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6B237C" w:rsidRDefault="006B237C">
                <w:pPr>
                  <w:widowControl w:val="0"/>
                  <w:jc w:val="right"/>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240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11.200.000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29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11/02/2025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34</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4.080.000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2.490.000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11%</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33.400.000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 tối đa 200.000đ khi mua đơn hàng online từ 599.000đ (Áp dụng mua tất cả sản phẩm trừ tã sữa)</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6.600.000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 và sữa Abbott)</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209.570.000</w:t>
                </w:r>
              </w:p>
            </w:tc>
          </w:tr>
        </w:tbl>
      </w:sdtContent>
    </w:sdt>
    <w:p w:rsidR="006B237C" w:rsidRDefault="006B237C">
      <w:pPr>
        <w:spacing w:line="360" w:lineRule="auto"/>
        <w:jc w:val="both"/>
        <w:rPr>
          <w:rFonts w:ascii="Times New Roman" w:eastAsia="Times New Roman" w:hAnsi="Times New Roman" w:cs="Times New Roman"/>
          <w:b/>
        </w:rPr>
      </w:pPr>
    </w:p>
    <w:p w:rsidR="006B237C" w:rsidRDefault="006B237C">
      <w:pPr>
        <w:spacing w:line="360" w:lineRule="auto"/>
        <w:jc w:val="both"/>
        <w:rPr>
          <w:rFonts w:ascii="Times New Roman" w:eastAsia="Times New Roman" w:hAnsi="Times New Roman" w:cs="Times New Roman"/>
          <w:b/>
        </w:rPr>
      </w:pPr>
    </w:p>
    <w:p w:rsidR="006B237C" w:rsidRDefault="00D5727A">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6.12. Các mã giảm giá chi tiết từ </w:t>
      </w:r>
      <w:r>
        <w:rPr>
          <w:rFonts w:ascii="Times New Roman" w:eastAsia="Times New Roman" w:hAnsi="Times New Roman" w:cs="Times New Roman"/>
        </w:rPr>
        <w:t>8:00 đến 23:00 ngày 12/02/2025</w:t>
      </w:r>
    </w:p>
    <w:p w:rsidR="006B237C" w:rsidRDefault="006B237C">
      <w:pPr>
        <w:spacing w:line="360" w:lineRule="auto"/>
        <w:jc w:val="both"/>
        <w:rPr>
          <w:rFonts w:ascii="Times New Roman" w:eastAsia="Times New Roman" w:hAnsi="Times New Roman" w:cs="Times New Roman"/>
          <w:b/>
        </w:rPr>
      </w:pPr>
    </w:p>
    <w:sdt>
      <w:sdtPr>
        <w:tag w:val="goog_rdk_11"/>
        <w:id w:val="2111933678"/>
        <w:lock w:val="contentLocked"/>
      </w:sdtPr>
      <w:sdtEndPr/>
      <w:sdtContent>
        <w:tbl>
          <w:tblPr>
            <w:tblStyle w:val="afffffffffffff2"/>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6B237C">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884"/>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6B237C" w:rsidRDefault="006B237C">
                <w:pPr>
                  <w:widowControl w:val="0"/>
                  <w:jc w:val="right"/>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240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11.200.000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12/02/2025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34</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4.080.000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2.490.000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8</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11%</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33.400.000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 tối đa 200.000đ khi mua đơn hàng online từ 599.000đ (Áp dụng mua tất cả sản phẩm trừ tã sữa)</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6.600.000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 và sữa Abbott)</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209.570.000</w:t>
                </w:r>
              </w:p>
            </w:tc>
          </w:tr>
        </w:tbl>
      </w:sdtContent>
    </w:sdt>
    <w:p w:rsidR="006B237C" w:rsidRDefault="006B237C">
      <w:pPr>
        <w:spacing w:line="360" w:lineRule="auto"/>
        <w:jc w:val="both"/>
        <w:rPr>
          <w:rFonts w:ascii="Times New Roman" w:eastAsia="Times New Roman" w:hAnsi="Times New Roman" w:cs="Times New Roman"/>
          <w:b/>
        </w:rPr>
      </w:pPr>
    </w:p>
    <w:p w:rsidR="006B237C" w:rsidRDefault="00D5727A">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6.13. Các mã giảm giá chi tiết từ 8:00 đến 23:00 ngày 13/02/2025</w:t>
      </w:r>
    </w:p>
    <w:p w:rsidR="006B237C" w:rsidRDefault="006B237C">
      <w:pPr>
        <w:spacing w:line="360" w:lineRule="auto"/>
        <w:jc w:val="both"/>
        <w:rPr>
          <w:rFonts w:ascii="Times New Roman" w:eastAsia="Times New Roman" w:hAnsi="Times New Roman" w:cs="Times New Roman"/>
          <w:b/>
        </w:rPr>
      </w:pPr>
    </w:p>
    <w:sdt>
      <w:sdtPr>
        <w:tag w:val="goog_rdk_12"/>
        <w:id w:val="-383943900"/>
        <w:lock w:val="contentLocked"/>
      </w:sdtPr>
      <w:sdtEndPr/>
      <w:sdtContent>
        <w:tbl>
          <w:tblPr>
            <w:tblStyle w:val="afffffffffffff3"/>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6B237C">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w:t>
                </w: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884"/>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6B237C" w:rsidRDefault="006B237C">
                <w:pPr>
                  <w:widowControl w:val="0"/>
                  <w:jc w:val="right"/>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240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11.200.000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13/02/2025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34</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4.080.000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2.490.000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11%</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10</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33.400.000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 tối đa 200.000đ khi mua đơn hàng online từ 599.000đ (Áp dụng mua tất cả sản phẩm trừ tã sữa)</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6.600.000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 và sữa Abbott)</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209.570.000</w:t>
                </w:r>
              </w:p>
            </w:tc>
          </w:tr>
        </w:tbl>
      </w:sdtContent>
    </w:sdt>
    <w:p w:rsidR="006B237C" w:rsidRDefault="006B237C">
      <w:pPr>
        <w:spacing w:line="360" w:lineRule="auto"/>
        <w:jc w:val="both"/>
        <w:rPr>
          <w:rFonts w:ascii="Times New Roman" w:eastAsia="Times New Roman" w:hAnsi="Times New Roman" w:cs="Times New Roman"/>
          <w:b/>
        </w:rPr>
      </w:pPr>
    </w:p>
    <w:p w:rsidR="006B237C" w:rsidRDefault="00D5727A">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6.14. Các mã giảm giá chi tiết từ 8:00 đến 23:00 ngày 14/02/2025</w:t>
      </w:r>
    </w:p>
    <w:p w:rsidR="006B237C" w:rsidRDefault="006B237C">
      <w:pPr>
        <w:spacing w:line="360" w:lineRule="auto"/>
        <w:jc w:val="both"/>
        <w:rPr>
          <w:rFonts w:ascii="Times New Roman" w:eastAsia="Times New Roman" w:hAnsi="Times New Roman" w:cs="Times New Roman"/>
          <w:b/>
        </w:rPr>
      </w:pPr>
    </w:p>
    <w:sdt>
      <w:sdtPr>
        <w:tag w:val="goog_rdk_13"/>
        <w:id w:val="1747908410"/>
        <w:lock w:val="contentLocked"/>
      </w:sdtPr>
      <w:sdtEndPr/>
      <w:sdtContent>
        <w:tbl>
          <w:tblPr>
            <w:tblStyle w:val="afffffffffffff4"/>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6B237C">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884"/>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6B237C" w:rsidRDefault="006B237C">
                <w:pPr>
                  <w:widowControl w:val="0"/>
                  <w:jc w:val="right"/>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240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11.200.000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14/02/2025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34</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4.080.000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2.490.000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11%</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33.400.000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 tối đa 200.000đ khi mua đơn hàng online từ 599.000đ (Áp dụng mua tất cả sản phẩm trừ tã sữa)</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6.600.000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 và sữa Abbott)</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209.570.000</w:t>
                </w:r>
              </w:p>
            </w:tc>
          </w:tr>
        </w:tbl>
      </w:sdtContent>
    </w:sdt>
    <w:p w:rsidR="006B237C" w:rsidRDefault="006B237C">
      <w:pPr>
        <w:spacing w:line="360" w:lineRule="auto"/>
        <w:jc w:val="both"/>
        <w:rPr>
          <w:rFonts w:ascii="Times New Roman" w:eastAsia="Times New Roman" w:hAnsi="Times New Roman" w:cs="Times New Roman"/>
          <w:b/>
        </w:rPr>
      </w:pPr>
    </w:p>
    <w:p w:rsidR="006B237C" w:rsidRDefault="00D5727A">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6.15. Các mã giảm giá chi tiết từ 8:00 đến 23:00 ngày 15/02/2025</w:t>
      </w:r>
    </w:p>
    <w:p w:rsidR="006B237C" w:rsidRDefault="006B237C">
      <w:pPr>
        <w:spacing w:line="360" w:lineRule="auto"/>
        <w:jc w:val="both"/>
        <w:rPr>
          <w:rFonts w:ascii="Times New Roman" w:eastAsia="Times New Roman" w:hAnsi="Times New Roman" w:cs="Times New Roman"/>
          <w:b/>
        </w:rPr>
      </w:pPr>
    </w:p>
    <w:sdt>
      <w:sdtPr>
        <w:tag w:val="goog_rdk_14"/>
        <w:id w:val="-503893391"/>
        <w:lock w:val="contentLocked"/>
      </w:sdtPr>
      <w:sdtEndPr/>
      <w:sdtContent>
        <w:tbl>
          <w:tblPr>
            <w:tblStyle w:val="afffffffffffff5"/>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6B237C">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884"/>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6B237C" w:rsidRDefault="006B237C">
                <w:pPr>
                  <w:widowControl w:val="0"/>
                  <w:jc w:val="right"/>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240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5</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11.200.000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15/02/2025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34</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4.080.000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2.490.000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11%</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33.400.000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 tối đa 200.000đ khi mua đơn hàng online từ 599.000đ (Áp dụng mua tất cả sản phẩm trừ tã sữa)</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6.600.000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 và sữa Abbott)</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209.570.000</w:t>
                </w:r>
              </w:p>
            </w:tc>
          </w:tr>
        </w:tbl>
      </w:sdtContent>
    </w:sdt>
    <w:p w:rsidR="006B237C" w:rsidRDefault="006B237C">
      <w:pPr>
        <w:spacing w:line="360" w:lineRule="auto"/>
        <w:jc w:val="both"/>
        <w:rPr>
          <w:rFonts w:ascii="Times New Roman" w:eastAsia="Times New Roman" w:hAnsi="Times New Roman" w:cs="Times New Roman"/>
          <w:b/>
        </w:rPr>
      </w:pPr>
    </w:p>
    <w:p w:rsidR="006B237C" w:rsidRDefault="006B237C">
      <w:pPr>
        <w:spacing w:line="360" w:lineRule="auto"/>
        <w:jc w:val="both"/>
        <w:rPr>
          <w:rFonts w:ascii="Times New Roman" w:eastAsia="Times New Roman" w:hAnsi="Times New Roman" w:cs="Times New Roman"/>
          <w:b/>
        </w:rPr>
      </w:pPr>
    </w:p>
    <w:p w:rsidR="006B237C" w:rsidRDefault="00D5727A">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6.16. Các mã giảm giá chi tiết từ 8:00 đến 23:00 ngày 16/02/2025</w:t>
      </w:r>
    </w:p>
    <w:p w:rsidR="006B237C" w:rsidRDefault="006B237C">
      <w:pPr>
        <w:spacing w:line="360" w:lineRule="auto"/>
        <w:jc w:val="both"/>
        <w:rPr>
          <w:rFonts w:ascii="Times New Roman" w:eastAsia="Times New Roman" w:hAnsi="Times New Roman" w:cs="Times New Roman"/>
          <w:b/>
        </w:rPr>
      </w:pPr>
    </w:p>
    <w:sdt>
      <w:sdtPr>
        <w:tag w:val="goog_rdk_15"/>
        <w:id w:val="1852375160"/>
        <w:lock w:val="contentLocked"/>
      </w:sdtPr>
      <w:sdtEndPr/>
      <w:sdtContent>
        <w:tbl>
          <w:tblPr>
            <w:tblStyle w:val="afffffffffffff6"/>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6B237C">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884"/>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6B237C" w:rsidRDefault="006B237C">
                <w:pPr>
                  <w:widowControl w:val="0"/>
                  <w:jc w:val="right"/>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240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11.200.000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29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16/02/2025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34</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4.080.000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2.490.000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11%</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33.400.000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 tối đa 200.000đ khi mua đơn hàng online từ 599.000đ (Áp dụng mua tất cả sản phẩm trừ tã sữa)</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6.600.000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 và sữa Abbott)</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209.570.000</w:t>
                </w:r>
              </w:p>
            </w:tc>
          </w:tr>
        </w:tbl>
      </w:sdtContent>
    </w:sdt>
    <w:p w:rsidR="006B237C" w:rsidRDefault="006B237C">
      <w:pPr>
        <w:spacing w:line="360" w:lineRule="auto"/>
        <w:jc w:val="both"/>
        <w:rPr>
          <w:rFonts w:ascii="Times New Roman" w:eastAsia="Times New Roman" w:hAnsi="Times New Roman" w:cs="Times New Roman"/>
          <w:b/>
        </w:rPr>
      </w:pPr>
    </w:p>
    <w:p w:rsidR="006B237C" w:rsidRDefault="00D5727A">
      <w:pPr>
        <w:spacing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6.17. Các mã giảm giá chi tiết từ 8:00 đến 23:00 ngày 17/02/2025</w:t>
      </w:r>
    </w:p>
    <w:p w:rsidR="006B237C" w:rsidRDefault="006B237C">
      <w:pPr>
        <w:spacing w:line="360" w:lineRule="auto"/>
        <w:jc w:val="both"/>
        <w:rPr>
          <w:rFonts w:ascii="Times New Roman" w:eastAsia="Times New Roman" w:hAnsi="Times New Roman" w:cs="Times New Roman"/>
          <w:b/>
        </w:rPr>
      </w:pPr>
    </w:p>
    <w:sdt>
      <w:sdtPr>
        <w:tag w:val="goog_rdk_16"/>
        <w:id w:val="976262211"/>
        <w:lock w:val="contentLocked"/>
      </w:sdtPr>
      <w:sdtEndPr/>
      <w:sdtContent>
        <w:tbl>
          <w:tblPr>
            <w:tblStyle w:val="afffffffffffff7"/>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6B237C">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884"/>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6B237C" w:rsidRDefault="006B237C">
                <w:pPr>
                  <w:widowControl w:val="0"/>
                  <w:jc w:val="right"/>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240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11.200.000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17/02/2025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34</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4.080.000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2.490.000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8</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11%</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33.400.000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 tối đa 200.000đ khi mua đơn hàng online từ 599.000đ (Áp dụng mua tất cả sản phẩm trừ tã sữa)</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6.600.000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 và sữa Abbott)</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209.570.000</w:t>
                </w:r>
              </w:p>
            </w:tc>
          </w:tr>
        </w:tbl>
      </w:sdtContent>
    </w:sdt>
    <w:p w:rsidR="006B237C" w:rsidRDefault="006B237C">
      <w:pPr>
        <w:spacing w:line="360" w:lineRule="auto"/>
        <w:jc w:val="both"/>
        <w:rPr>
          <w:rFonts w:ascii="Times New Roman" w:eastAsia="Times New Roman" w:hAnsi="Times New Roman" w:cs="Times New Roman"/>
          <w:b/>
        </w:rPr>
      </w:pPr>
    </w:p>
    <w:p w:rsidR="006B237C" w:rsidRDefault="00D5727A">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6.18. Các mã giảm giá chi tiết từ 8:00 đến 23:00 ngày 18/02/2025</w:t>
      </w:r>
    </w:p>
    <w:p w:rsidR="006B237C" w:rsidRDefault="006B237C">
      <w:pPr>
        <w:spacing w:line="360" w:lineRule="auto"/>
        <w:jc w:val="both"/>
        <w:rPr>
          <w:rFonts w:ascii="Times New Roman" w:eastAsia="Times New Roman" w:hAnsi="Times New Roman" w:cs="Times New Roman"/>
          <w:b/>
        </w:rPr>
      </w:pPr>
    </w:p>
    <w:sdt>
      <w:sdtPr>
        <w:tag w:val="goog_rdk_17"/>
        <w:id w:val="531229776"/>
        <w:lock w:val="contentLocked"/>
      </w:sdtPr>
      <w:sdtEndPr/>
      <w:sdtContent>
        <w:tbl>
          <w:tblPr>
            <w:tblStyle w:val="afffffffffffff8"/>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6B237C">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w:t>
                </w: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884"/>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6B237C" w:rsidRDefault="006B237C">
                <w:pPr>
                  <w:widowControl w:val="0"/>
                  <w:jc w:val="right"/>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240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11.200.000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18/02/2025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34</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4.080.000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2.490.000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11%</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10</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33.400.000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 tối đa 200.000đ khi mua đơn hàng online từ 599.000đ (Áp dụng mua tất cả sản phẩm trừ tã sữa)</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6.600.000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 và sữa Abbott)</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209.570.000</w:t>
                </w:r>
              </w:p>
            </w:tc>
          </w:tr>
        </w:tbl>
      </w:sdtContent>
    </w:sdt>
    <w:p w:rsidR="006B237C" w:rsidRDefault="006B237C">
      <w:pPr>
        <w:spacing w:line="360" w:lineRule="auto"/>
        <w:jc w:val="both"/>
        <w:rPr>
          <w:rFonts w:ascii="Times New Roman" w:eastAsia="Times New Roman" w:hAnsi="Times New Roman" w:cs="Times New Roman"/>
          <w:b/>
        </w:rPr>
      </w:pPr>
    </w:p>
    <w:p w:rsidR="006B237C" w:rsidRDefault="00D5727A">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6.19. Các mã giảm giá chi tiết từ 8:00 đến 23:00 ngày 19/02/2025</w:t>
      </w:r>
    </w:p>
    <w:p w:rsidR="006B237C" w:rsidRDefault="006B237C">
      <w:pPr>
        <w:spacing w:line="360" w:lineRule="auto"/>
        <w:jc w:val="both"/>
        <w:rPr>
          <w:rFonts w:ascii="Times New Roman" w:eastAsia="Times New Roman" w:hAnsi="Times New Roman" w:cs="Times New Roman"/>
          <w:b/>
        </w:rPr>
      </w:pPr>
    </w:p>
    <w:sdt>
      <w:sdtPr>
        <w:tag w:val="goog_rdk_18"/>
        <w:id w:val="720721798"/>
        <w:lock w:val="contentLocked"/>
      </w:sdtPr>
      <w:sdtEndPr/>
      <w:sdtContent>
        <w:tbl>
          <w:tblPr>
            <w:tblStyle w:val="afffffffffffff9"/>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6B237C">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884"/>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6B237C" w:rsidRDefault="006B237C">
                <w:pPr>
                  <w:widowControl w:val="0"/>
                  <w:jc w:val="right"/>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240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11.200.000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19/02/2025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34</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4.080.000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2.490.000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11%</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33.400.000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 tối đa 200.000đ khi mua đơn hàng online từ 599.000đ (Áp dụng mua tất cả sản phẩm trừ tã sữa)</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6.600.000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 và sữa Abbott)</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209.570.000</w:t>
                </w:r>
              </w:p>
            </w:tc>
          </w:tr>
        </w:tbl>
      </w:sdtContent>
    </w:sdt>
    <w:p w:rsidR="006B237C" w:rsidRDefault="006B237C">
      <w:pPr>
        <w:spacing w:line="360" w:lineRule="auto"/>
        <w:jc w:val="both"/>
        <w:rPr>
          <w:rFonts w:ascii="Times New Roman" w:eastAsia="Times New Roman" w:hAnsi="Times New Roman" w:cs="Times New Roman"/>
          <w:b/>
        </w:rPr>
      </w:pPr>
    </w:p>
    <w:p w:rsidR="006B237C" w:rsidRDefault="00D5727A">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6.20. Các mã giảm giá chi tiết từ 8:00 đến 23:00 ngày 20/02/2025</w:t>
      </w:r>
    </w:p>
    <w:p w:rsidR="006B237C" w:rsidRDefault="006B237C">
      <w:pPr>
        <w:spacing w:line="360" w:lineRule="auto"/>
        <w:jc w:val="both"/>
        <w:rPr>
          <w:rFonts w:ascii="Times New Roman" w:eastAsia="Times New Roman" w:hAnsi="Times New Roman" w:cs="Times New Roman"/>
          <w:b/>
        </w:rPr>
      </w:pPr>
    </w:p>
    <w:sdt>
      <w:sdtPr>
        <w:tag w:val="goog_rdk_19"/>
        <w:id w:val="-55326771"/>
        <w:lock w:val="contentLocked"/>
      </w:sdtPr>
      <w:sdtEndPr/>
      <w:sdtContent>
        <w:tbl>
          <w:tblPr>
            <w:tblStyle w:val="afffffffffffffa"/>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6B237C">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884"/>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6B237C" w:rsidRDefault="006B237C">
                <w:pPr>
                  <w:widowControl w:val="0"/>
                  <w:jc w:val="right"/>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100.000đ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12% tối đa 100.000đ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 tối đa 100.000đ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240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24.000.000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5</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8% tối đa 70.000đ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8%</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11.200.000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w:t>
                </w:r>
              </w:p>
            </w:tc>
            <w:tc>
              <w:tcPr>
                <w:tcW w:w="29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15% tối đa 120.000đ khi mua đơn hàng online từ 199.000đ (Áp dụng mua tất cả sản phẩm trừ tã sữa)</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20/02/2025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120000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34</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4.080.000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30.000đ khi mua đơn hàng online từ 299.000đ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2.490.000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65.000đ khi mua đơn hàng online từ 599.000đ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11%</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65000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w:t>
                </w:r>
              </w:p>
            </w:tc>
          </w:tr>
          <w:tr w:rsidR="006B237C">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130.000đ khi mua đơn hàng online từ 999.000đ (Áp dụng mua tất cả sản phẩm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20/02/2025</w:t>
                </w:r>
              </w:p>
            </w:tc>
            <w:tc>
              <w:tcPr>
                <w:tcW w:w="108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45.000đ khi mua đơn hàng online từ 399.000đ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39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4.500.000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100.000đ khi mua đơn hàng online từ 799.000đ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6.700.000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200.000đ khi mua đơn hàng online từ 1.299.000đ (Áp dụng mua tất cả sản phẩm trừ sữa dưới 2 tuổi)</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15%</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167</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33.400.000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sz w:val="20"/>
                    <w:szCs w:val="20"/>
                  </w:rPr>
                </w:pPr>
                <w:r>
                  <w:rPr>
                    <w:rFonts w:ascii="Times New Roman" w:eastAsia="Times New Roman" w:hAnsi="Times New Roman" w:cs="Times New Roman"/>
                  </w:rPr>
                  <w:t>Tặng mã giảm giá 20% tối đa 200.000đ khi mua đơn hàng online từ 599.000đ (Áp dụng mua tất cả sản phẩm trừ tã sữa)</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20/02/2025</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33</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6.600.000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14</w:t>
                </w: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 và sữa Abbott)</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20/02/2025</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sz w:val="20"/>
                    <w:szCs w:val="20"/>
                  </w:rPr>
                </w:pPr>
                <w:r>
                  <w:rPr>
                    <w:rFonts w:ascii="Times New Roman" w:eastAsia="Times New Roman" w:hAnsi="Times New Roman" w:cs="Times New Roman"/>
                  </w:rPr>
                  <w:t>130000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300</w:t>
                </w: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39000000</w:t>
                </w:r>
              </w:p>
            </w:tc>
          </w:tr>
          <w:tr w:rsidR="006B237C">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298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6B237C" w:rsidRDefault="006B237C">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6B237C" w:rsidRDefault="006B237C">
                <w:pPr>
                  <w:widowControl w:val="0"/>
                  <w:jc w:val="right"/>
                  <w:rPr>
                    <w:rFonts w:ascii="Times New Roman" w:eastAsia="Times New Roman" w:hAnsi="Times New Roman" w:cs="Times New Roman"/>
                  </w:rPr>
                </w:pPr>
              </w:p>
            </w:tc>
            <w:tc>
              <w:tcPr>
                <w:tcW w:w="139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6B237C" w:rsidRDefault="00D5727A">
                <w:pPr>
                  <w:widowControl w:val="0"/>
                  <w:jc w:val="right"/>
                  <w:rPr>
                    <w:rFonts w:ascii="Times New Roman" w:eastAsia="Times New Roman" w:hAnsi="Times New Roman" w:cs="Times New Roman"/>
                  </w:rPr>
                </w:pPr>
                <w:r>
                  <w:rPr>
                    <w:rFonts w:ascii="Times New Roman" w:eastAsia="Times New Roman" w:hAnsi="Times New Roman" w:cs="Times New Roman"/>
                  </w:rPr>
                  <w:t>209.570.000</w:t>
                </w:r>
              </w:p>
            </w:tc>
          </w:tr>
        </w:tbl>
      </w:sdtContent>
    </w:sdt>
    <w:p w:rsidR="006B237C" w:rsidRDefault="006B237C">
      <w:pPr>
        <w:spacing w:line="360" w:lineRule="auto"/>
        <w:jc w:val="both"/>
        <w:rPr>
          <w:rFonts w:ascii="Times New Roman" w:eastAsia="Times New Roman" w:hAnsi="Times New Roman" w:cs="Times New Roman"/>
          <w:b/>
        </w:rPr>
      </w:pPr>
    </w:p>
    <w:p w:rsidR="006B237C" w:rsidRDefault="00D5727A">
      <w:pPr>
        <w:spacing w:line="360" w:lineRule="auto"/>
        <w:rPr>
          <w:rFonts w:ascii="Times New Roman" w:eastAsia="Times New Roman" w:hAnsi="Times New Roman" w:cs="Times New Roman"/>
        </w:rPr>
      </w:pPr>
      <w:r>
        <w:rPr>
          <w:rFonts w:ascii="Times New Roman" w:eastAsia="Times New Roman" w:hAnsi="Times New Roman" w:cs="Times New Roman"/>
          <w:b/>
        </w:rPr>
        <w:t>Tổng cộng: 4.191.400.000 VNĐ (Bằng chữ: Bốn tỷ một trăm chín mươi mốt triệu bốn trăm nghìn  đồng)</w:t>
      </w:r>
    </w:p>
    <w:p w:rsidR="006B237C" w:rsidRDefault="00D5727A">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7. Khách hàng của chương trình khuyến mại (đối tượng hưởng khuyến mại): </w:t>
      </w:r>
    </w:p>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Tất cả khách hàng đăng nhập vào website concung.com hoặc ứng dụng mua hàng Con Cưng, không cần</w:t>
      </w:r>
    </w:p>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phát sinh đơn hàng trong khoảng thời gian livestream từ 8:00 đến 23:00 ngày 01/02/2025, 8:00 đến 23:00 ngày 02/02/2025, 8:00 đến 23:00 ngày 03/02/2025, 8:00 đến 23:00 ngày 04/02/2025, 8:00 đến 23:00 ngày 05/02/2025, 8:00 đến 23:00 ngày 06/02/2025, 8:00 đến 23:00 ngày 07/02/2025, 8:00 đến 23:00 ngày 08/02/2025; 8:00 đến 23:00 ngày 09/01/2025; 8:00 đến 23:00 ngày 10/02/2025; 8:00 đến 23:00 ngày 11/02/2025; 8:00 đến 23:00 ngày 12/02/2025; 8:00 đến 23:00 ngày 13/02/2025; 8:00 đến 23:00 ngày 14/02/2025; 8:00 đến 23:00 ngày 15/02/2025; 8:00 đến 23:00 ngày 16/02/2025; 8:00 đến 23:00 ngày 17/02/2025; 8:00 đến 23:00 ngày 18/02/2025; 8:00 đến 23:00 ngày 19/02/2025; 8:00 đến 23:00 ngày 20/02/2025 sẽ được tặng cá</w:t>
      </w:r>
      <w:r w:rsidR="00B22D8B">
        <w:rPr>
          <w:rFonts w:ascii="Times New Roman" w:eastAsia="Times New Roman" w:hAnsi="Times New Roman" w:cs="Times New Roman"/>
        </w:rPr>
        <w:t>c mã giảm giá tại mục 6 TBKM (45</w:t>
      </w:r>
      <w:r>
        <w:rPr>
          <w:rFonts w:ascii="Times New Roman" w:eastAsia="Times New Roman" w:hAnsi="Times New Roman" w:cs="Times New Roman"/>
        </w:rPr>
        <w:t>-02/KD-CC)</w:t>
      </w:r>
    </w:p>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rsidR="006B237C" w:rsidRDefault="00D5727A">
      <w:pPr>
        <w:numPr>
          <w:ilvl w:val="0"/>
          <w:numId w:val="2"/>
        </w:numPr>
        <w:spacing w:line="360" w:lineRule="auto"/>
        <w:ind w:left="426" w:hanging="426"/>
        <w:jc w:val="both"/>
        <w:rPr>
          <w:rFonts w:ascii="Times New Roman" w:eastAsia="Times New Roman" w:hAnsi="Times New Roman" w:cs="Times New Roman"/>
        </w:rPr>
      </w:pPr>
      <w:r>
        <w:rPr>
          <w:rFonts w:ascii="Times New Roman" w:eastAsia="Times New Roman" w:hAnsi="Times New Roman" w:cs="Times New Roman"/>
          <w:b/>
        </w:rPr>
        <w:t>Cơ cấu giải thưởng (nội dung giải thưởng, giá trị giải thưởng, số lượng giải thưởng):</w:t>
      </w:r>
      <w:r>
        <w:rPr>
          <w:rFonts w:ascii="Times New Roman" w:eastAsia="Times New Roman" w:hAnsi="Times New Roman" w:cs="Times New Roman"/>
        </w:rPr>
        <w:t xml:space="preserve"> Theo thể lệ đính kèm </w:t>
      </w:r>
    </w:p>
    <w:p w:rsidR="006B237C" w:rsidRDefault="00D5727A">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rPr>
        <w:t>Tổng giá trị hàng hóa, dịch vụ dùng để khuyến mại: 4.191.400.000 VNĐ (Bằng chữ: Bốn tỷ một trăm chín mươi mốt triệu bốn trăm nghìn  đồng)</w:t>
      </w:r>
    </w:p>
    <w:p w:rsidR="006B237C" w:rsidRDefault="00D5727A">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Nội dung chi tiết thể lệ chương trình khuyến mại:</w:t>
      </w:r>
    </w:p>
    <w:p w:rsidR="006B237C" w:rsidRDefault="00D5727A">
      <w:pPr>
        <w:numPr>
          <w:ilvl w:val="1"/>
          <w:numId w:val="2"/>
        </w:numPr>
        <w:spacing w:line="360"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Tất cả khách hàng không cần phát sinh đơn hàng, chỉ cần truy cập đường link tại web concung.com hoặc</w:t>
      </w:r>
    </w:p>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app mua sắm nhanh chóng Con Cưng trong thời gian diễn ra chương trình (áp dụng chi tiết thời gian khuyến mãi 8:00 đến 23:00 ngày 01/02/2025, 8:00 đến 23:00 ngày 02/02/2025, 8:00 đến 23:00 ngày 03/02/2025, 8:00 đến 23:00 ngày 04/02/2025, 8:00 đến 23:00 ngày 05/02/2025, 8:00 đến 23:00 ngày 06/02/2025, 8:00 đến 23:00 ngày 07/02/2025, 8:00 đến 23:00 ngày 08/02/2025; 8:00 đến 23:00 ngày 09/01/2025; 8:00 đến 23:00 ngày 10/02/2025; 8:00 đến 23:00 ngày 11/02/2025; 8:00 đến 23:00 ngày 12/02/2025; 8:00 đến 23:00 </w:t>
      </w:r>
      <w:r>
        <w:rPr>
          <w:rFonts w:ascii="Times New Roman" w:eastAsia="Times New Roman" w:hAnsi="Times New Roman" w:cs="Times New Roman"/>
        </w:rPr>
        <w:lastRenderedPageBreak/>
        <w:t>ngày 13/02/2025; 8:00 đến 23:00 ngày 14/02/2025; 8:00 đến 23:00 ngày 15/02/2025; 8:00 đến 23:00 ngày 16/02/2025; 8:00 đến 23:00 ngày 17/02/2025; 8:00 đến 23:00 ngày 18/02/2025; 8:00 đến 23:00 ngày 19/02/2025; 8:00 đến 23:00 ngày 20/02/2025 đăng nhập số điện thoại, truy cập vào giỏ hàng trong sự kiện livestream trên app Con Cưng sẽ hiển thị mã giảm giá như sau:</w:t>
      </w:r>
    </w:p>
    <w:p w:rsidR="006B237C" w:rsidRDefault="00D5727A">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10% tối đa 100.000đ khi mua đơn hàng online từ 199.000đ (Áp dụng mua tất cả sản phẩm trừ tã sữa)</w:t>
      </w:r>
    </w:p>
    <w:p w:rsidR="006B237C" w:rsidRDefault="00D5727A">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8% tối đa 100.000đ khi mua đơn hàng online từ 599.000đ (Áp dụng mua tất cả sản phẩm trừ sữa dưới 2 tuổi)</w:t>
      </w:r>
    </w:p>
    <w:p w:rsidR="006B237C" w:rsidRDefault="00D5727A">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12% tối đa 100.000đ khi mua đơn hàng online từ 199.000đ (Áp dụng mua tất cả sản phẩm trừ tã sữa)</w:t>
      </w:r>
    </w:p>
    <w:p w:rsidR="006B237C" w:rsidRDefault="00D5727A">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10% tối đa 100.000đ khi mua đơn hàng online từ 999.000đ (Áp dụng mua tất cả sản phẩm trừ sữa dưới 2 tuổi)</w:t>
      </w:r>
    </w:p>
    <w:p w:rsidR="006B237C" w:rsidRDefault="00D5727A">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8% tối đa 70.000đ khi mua đơn hàng online từ 299.000đ (Áp dụng mua tất cả sản phẩm trừ sữa dưới 2 tuổi)</w:t>
      </w:r>
    </w:p>
    <w:p w:rsidR="006B237C" w:rsidRDefault="00D5727A">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15% tối đa 120.000đ khi mua đơn hàng online từ 199.000đ (Áp dụng mua tất cả sản phẩm trừ tã sữa)</w:t>
      </w:r>
    </w:p>
    <w:p w:rsidR="006B237C" w:rsidRDefault="00D5727A">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30.000đ khi mua đơn hàng online từ 299.000đ (Áp dụng mua tất cả sản phẩm trừ sữa dưới 2 tuổi)</w:t>
      </w:r>
    </w:p>
    <w:p w:rsidR="006B237C" w:rsidRDefault="00D5727A">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65.000đ khi mua đơn hàng online từ 599.000đ (Áp dụng mua tất cả sản phẩm trừ sữa dưới 2 tuổi)</w:t>
      </w:r>
    </w:p>
    <w:p w:rsidR="006B237C" w:rsidRDefault="00D5727A">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w:t>
      </w:r>
    </w:p>
    <w:p w:rsidR="006B237C" w:rsidRDefault="00D5727A">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45.000đ khi mua đơn hàng online từ 399.000đ (Áp dụng mua tất cả sản phẩm trừ sữa dưới 2 tuổi)</w:t>
      </w:r>
    </w:p>
    <w:p w:rsidR="006B237C" w:rsidRDefault="00D5727A">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799.000đ (Áp dụng mua tất cả sản phẩm trừ sữa dưới 2 tuổi)</w:t>
      </w:r>
    </w:p>
    <w:p w:rsidR="006B237C" w:rsidRDefault="00D5727A">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200.000đ khi mua đơn hàng online từ 1.299.000đ (Áp dụng mua tất cả sản phẩm trừ sữa dưới 2 tuổi)</w:t>
      </w:r>
    </w:p>
    <w:p w:rsidR="006B237C" w:rsidRDefault="00D5727A">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20% tối đa 200.000đ khi mua đơn hàng online từ 599.000đ (Áp dụng mua tất cả sản phẩm trừ tã sữa)</w:t>
      </w:r>
    </w:p>
    <w:p w:rsidR="006B237C" w:rsidRDefault="00D5727A">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999.000đ (Áp dụng mua tất cả sản phẩm trừ sữa dưới 2 tuổi và sữa Abbott)</w:t>
      </w:r>
    </w:p>
    <w:p w:rsidR="006B237C" w:rsidRDefault="006B237C">
      <w:pPr>
        <w:widowControl w:val="0"/>
        <w:rPr>
          <w:rFonts w:ascii="Times New Roman" w:eastAsia="Times New Roman" w:hAnsi="Times New Roman" w:cs="Times New Roman"/>
        </w:rPr>
      </w:pPr>
    </w:p>
    <w:p w:rsidR="006B237C" w:rsidRDefault="00D5727A">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Cách thức khách hàng nhận được quà tặng:</w:t>
      </w:r>
    </w:p>
    <w:p w:rsidR="006B237C" w:rsidRDefault="00D5727A">
      <w:pPr>
        <w:numPr>
          <w:ilvl w:val="0"/>
          <w:numId w:val="3"/>
        </w:numPr>
        <w:pBdr>
          <w:top w:val="nil"/>
          <w:left w:val="nil"/>
          <w:bottom w:val="nil"/>
          <w:right w:val="nil"/>
          <w:between w:val="nil"/>
        </w:pBdr>
        <w:spacing w:line="360" w:lineRule="auto"/>
        <w:ind w:left="284" w:hanging="284"/>
        <w:jc w:val="both"/>
        <w:rPr>
          <w:color w:val="000000"/>
        </w:rPr>
      </w:pPr>
      <w:r>
        <w:rPr>
          <w:rFonts w:ascii="Times New Roman" w:eastAsia="Times New Roman" w:hAnsi="Times New Roman" w:cs="Times New Roman"/>
          <w:b/>
          <w:color w:val="000000"/>
        </w:rPr>
        <w:t>Cách thức thu thập:</w:t>
      </w:r>
    </w:p>
    <w:p w:rsidR="006B237C" w:rsidRDefault="00D5727A">
      <w:pPr>
        <w:spacing w:line="36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Khách hàng truy cập </w:t>
      </w:r>
      <w:r>
        <w:rPr>
          <w:rFonts w:ascii="Times New Roman" w:eastAsia="Times New Roman" w:hAnsi="Times New Roman" w:cs="Times New Roman"/>
        </w:rPr>
        <w:t>vào</w:t>
      </w:r>
      <w:r>
        <w:rPr>
          <w:rFonts w:ascii="Times New Roman" w:eastAsia="Times New Roman" w:hAnsi="Times New Roman" w:cs="Times New Roman"/>
          <w:color w:val="000000"/>
        </w:rPr>
        <w:t xml:space="preserve"> app mua sắm nhanh chóng Con</w:t>
      </w:r>
      <w:r>
        <w:rPr>
          <w:rFonts w:ascii="Times New Roman" w:eastAsia="Times New Roman" w:hAnsi="Times New Roman" w:cs="Times New Roman"/>
        </w:rPr>
        <w:t xml:space="preserve"> </w:t>
      </w:r>
      <w:r>
        <w:rPr>
          <w:rFonts w:ascii="Times New Roman" w:eastAsia="Times New Roman" w:hAnsi="Times New Roman" w:cs="Times New Roman"/>
          <w:color w:val="000000"/>
        </w:rPr>
        <w:t>Cưng trong thời gian diễn ra chương trình và đăng nhập số điện thoại.</w:t>
      </w:r>
    </w:p>
    <w:p w:rsidR="006B237C" w:rsidRDefault="00D5727A">
      <w:pPr>
        <w:spacing w:line="360" w:lineRule="auto"/>
        <w:rPr>
          <w:rFonts w:ascii="Times New Roman" w:eastAsia="Times New Roman" w:hAnsi="Times New Roman" w:cs="Times New Roman"/>
        </w:rPr>
      </w:pPr>
      <w:r>
        <w:rPr>
          <w:rFonts w:ascii="Times New Roman" w:eastAsia="Times New Roman" w:hAnsi="Times New Roman" w:cs="Times New Roman"/>
        </w:rPr>
        <w:t xml:space="preserve">+ Khách hàng truy cập vào sự kiện livestream thông qua đường dẫn chia sẻ hoặc biểu tượng Livestream Săn Quà hiển thị trên app mua sắm nhanh chóng Con Cưng </w:t>
      </w:r>
    </w:p>
    <w:p w:rsidR="006B237C" w:rsidRDefault="00D5727A">
      <w:pPr>
        <w:spacing w:line="360" w:lineRule="auto"/>
        <w:rPr>
          <w:rFonts w:ascii="Times New Roman" w:eastAsia="Times New Roman" w:hAnsi="Times New Roman" w:cs="Times New Roman"/>
        </w:rPr>
      </w:pPr>
      <w:r>
        <w:rPr>
          <w:rFonts w:ascii="Times New Roman" w:eastAsia="Times New Roman" w:hAnsi="Times New Roman" w:cs="Times New Roman"/>
          <w:color w:val="000000"/>
        </w:rPr>
        <w:t>+ M</w:t>
      </w:r>
      <w:r>
        <w:rPr>
          <w:rFonts w:ascii="Times New Roman" w:eastAsia="Times New Roman" w:hAnsi="Times New Roman" w:cs="Times New Roman"/>
        </w:rPr>
        <w:t xml:space="preserve">ã giảm giá sẽ được hiển thị tại vị trí là giỏ hàng trong sự kiện livestream. Khách hàng </w:t>
      </w:r>
      <w:r>
        <w:rPr>
          <w:rFonts w:ascii="Times New Roman" w:eastAsia="Times New Roman" w:hAnsi="Times New Roman" w:cs="Times New Roman"/>
          <w:color w:val="000000"/>
        </w:rPr>
        <w:t xml:space="preserve">thu thập mã bằng cách nhấn vào nút Lấy mã có trên mã giảm giá. </w:t>
      </w:r>
      <w:r>
        <w:rPr>
          <w:rFonts w:ascii="Times New Roman" w:eastAsia="Times New Roman" w:hAnsi="Times New Roman" w:cs="Times New Roman"/>
        </w:rPr>
        <w:t xml:space="preserve">Mã giảm giá sau khi được thu thập, sẽ được </w:t>
      </w:r>
      <w:r>
        <w:rPr>
          <w:rFonts w:ascii="Times New Roman" w:eastAsia="Times New Roman" w:hAnsi="Times New Roman" w:cs="Times New Roman"/>
          <w:b/>
        </w:rPr>
        <w:t xml:space="preserve">lưu trữ </w:t>
      </w:r>
      <w:r>
        <w:rPr>
          <w:rFonts w:ascii="Times New Roman" w:eastAsia="Times New Roman" w:hAnsi="Times New Roman" w:cs="Times New Roman"/>
          <w:b/>
        </w:rPr>
        <w:lastRenderedPageBreak/>
        <w:t>trong Ví Khuyến mại (Ví Voucher)</w:t>
      </w:r>
      <w:r>
        <w:rPr>
          <w:rFonts w:ascii="Times New Roman" w:eastAsia="Times New Roman" w:hAnsi="Times New Roman" w:cs="Times New Roman"/>
        </w:rPr>
        <w:t xml:space="preserve"> của khách hàng. Khách hàng sử dụng mã giảm giá được tặng để mua Đơn hàng Con Cưng bất kỳ trong các lần mua sắm lần sau. </w:t>
      </w:r>
    </w:p>
    <w:p w:rsidR="006B237C" w:rsidRDefault="00D5727A">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extent cx="1359964" cy="2957513"/>
            <wp:effectExtent l="0" t="0" r="0" b="0"/>
            <wp:docPr id="39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359964" cy="2957513"/>
                    </a:xfrm>
                    <a:prstGeom prst="rect">
                      <a:avLst/>
                    </a:prstGeom>
                    <a:ln/>
                  </pic:spPr>
                </pic:pic>
              </a:graphicData>
            </a:graphic>
          </wp:inline>
        </w:drawing>
      </w:r>
      <w:r>
        <w:rPr>
          <w:rFonts w:ascii="Times New Roman" w:eastAsia="Times New Roman" w:hAnsi="Times New Roman" w:cs="Times New Roman"/>
          <w:noProof/>
          <w:lang w:val="en-US"/>
        </w:rPr>
        <w:drawing>
          <wp:inline distT="114300" distB="114300" distL="114300" distR="114300">
            <wp:extent cx="1378258" cy="2957513"/>
            <wp:effectExtent l="0" t="0" r="0" b="0"/>
            <wp:docPr id="39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378258" cy="2957513"/>
                    </a:xfrm>
                    <a:prstGeom prst="rect">
                      <a:avLst/>
                    </a:prstGeom>
                    <a:ln/>
                  </pic:spPr>
                </pic:pic>
              </a:graphicData>
            </a:graphic>
          </wp:inline>
        </w:drawing>
      </w:r>
    </w:p>
    <w:p w:rsidR="006B237C" w:rsidRDefault="006B237C">
      <w:pPr>
        <w:spacing w:line="360" w:lineRule="auto"/>
        <w:jc w:val="center"/>
        <w:rPr>
          <w:rFonts w:ascii="Times New Roman" w:eastAsia="Times New Roman" w:hAnsi="Times New Roman" w:cs="Times New Roman"/>
        </w:rPr>
      </w:pPr>
    </w:p>
    <w:p w:rsidR="006B237C" w:rsidRDefault="006B237C">
      <w:pPr>
        <w:spacing w:line="360" w:lineRule="auto"/>
        <w:jc w:val="center"/>
        <w:rPr>
          <w:rFonts w:ascii="Times New Roman" w:eastAsia="Times New Roman" w:hAnsi="Times New Roman" w:cs="Times New Roman"/>
        </w:rPr>
      </w:pPr>
    </w:p>
    <w:p w:rsidR="006B237C" w:rsidRDefault="006B237C">
      <w:pPr>
        <w:spacing w:line="360" w:lineRule="auto"/>
        <w:jc w:val="center"/>
        <w:rPr>
          <w:rFonts w:ascii="Times New Roman" w:eastAsia="Times New Roman" w:hAnsi="Times New Roman" w:cs="Times New Roman"/>
        </w:rPr>
      </w:pPr>
    </w:p>
    <w:p w:rsidR="006B237C" w:rsidRDefault="00D5727A">
      <w:pPr>
        <w:widowControl w:val="0"/>
        <w:spacing w:line="360" w:lineRule="auto"/>
        <w:jc w:val="both"/>
        <w:rPr>
          <w:rFonts w:ascii="Times New Roman" w:eastAsia="Times New Roman" w:hAnsi="Times New Roman" w:cs="Times New Roman"/>
          <w:i/>
        </w:rPr>
      </w:pPr>
      <w:r>
        <w:rPr>
          <w:rFonts w:ascii="Times New Roman" w:eastAsia="Times New Roman" w:hAnsi="Times New Roman" w:cs="Times New Roman"/>
          <w:i/>
        </w:rPr>
        <w:t>Hình 1. Khách hàng thu thập mã giảm giá tại giỏ hàng livestream trên app Con Cưng</w:t>
      </w:r>
      <w:r>
        <w:rPr>
          <w:noProof/>
          <w:lang w:val="en-US"/>
        </w:rPr>
        <w:drawing>
          <wp:anchor distT="0" distB="0" distL="114300" distR="114300" simplePos="0" relativeHeight="251658240" behindDoc="0" locked="0" layoutInCell="1" hidden="0" allowOverlap="1">
            <wp:simplePos x="0" y="0"/>
            <wp:positionH relativeFrom="column">
              <wp:posOffset>1628775</wp:posOffset>
            </wp:positionH>
            <wp:positionV relativeFrom="paragraph">
              <wp:posOffset>236200</wp:posOffset>
            </wp:positionV>
            <wp:extent cx="1343025" cy="2905125"/>
            <wp:effectExtent l="0" t="0" r="0" b="0"/>
            <wp:wrapTopAndBottom distT="0" distB="0"/>
            <wp:docPr id="3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343025" cy="2905125"/>
                    </a:xfrm>
                    <a:prstGeom prst="rect">
                      <a:avLst/>
                    </a:prstGeom>
                    <a:ln/>
                  </pic:spPr>
                </pic:pic>
              </a:graphicData>
            </a:graphic>
          </wp:anchor>
        </w:drawing>
      </w:r>
    </w:p>
    <w:p w:rsidR="006B237C" w:rsidRDefault="00D5727A">
      <w:pPr>
        <w:widowControl w:val="0"/>
        <w:spacing w:line="360" w:lineRule="auto"/>
        <w:jc w:val="both"/>
        <w:rPr>
          <w:rFonts w:ascii="Times New Roman" w:eastAsia="Times New Roman" w:hAnsi="Times New Roman" w:cs="Times New Roman"/>
          <w:i/>
          <w:u w:val="single"/>
        </w:rPr>
      </w:pPr>
      <w:r>
        <w:rPr>
          <w:rFonts w:ascii="Times New Roman" w:eastAsia="Times New Roman" w:hAnsi="Times New Roman" w:cs="Times New Roman"/>
          <w:i/>
        </w:rPr>
        <w:t xml:space="preserve">Hình 2. Mã giảm giá sau khi được thu thập, sẽ được </w:t>
      </w:r>
      <w:r>
        <w:rPr>
          <w:rFonts w:ascii="Times New Roman" w:eastAsia="Times New Roman" w:hAnsi="Times New Roman" w:cs="Times New Roman"/>
          <w:b/>
          <w:i/>
        </w:rPr>
        <w:t>lưu trữ trong Ví Khuyến mại (Ví Voucher)</w:t>
      </w:r>
      <w:r>
        <w:rPr>
          <w:rFonts w:ascii="Times New Roman" w:eastAsia="Times New Roman" w:hAnsi="Times New Roman" w:cs="Times New Roman"/>
          <w:i/>
        </w:rPr>
        <w:t xml:space="preserve"> của khách hàng</w:t>
      </w:r>
      <w:r>
        <w:rPr>
          <w:noProof/>
          <w:lang w:val="en-US"/>
        </w:rPr>
        <w:drawing>
          <wp:anchor distT="0" distB="0" distL="114300" distR="114300" simplePos="0" relativeHeight="251659264" behindDoc="0" locked="0" layoutInCell="1" hidden="0" allowOverlap="1">
            <wp:simplePos x="0" y="0"/>
            <wp:positionH relativeFrom="column">
              <wp:posOffset>2971800</wp:posOffset>
            </wp:positionH>
            <wp:positionV relativeFrom="paragraph">
              <wp:posOffset>0</wp:posOffset>
            </wp:positionV>
            <wp:extent cx="1337310" cy="2895600"/>
            <wp:effectExtent l="0" t="0" r="0" b="0"/>
            <wp:wrapTopAndBottom distT="0" distB="0"/>
            <wp:docPr id="3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337310" cy="2895600"/>
                    </a:xfrm>
                    <a:prstGeom prst="rect">
                      <a:avLst/>
                    </a:prstGeom>
                    <a:ln/>
                  </pic:spPr>
                </pic:pic>
              </a:graphicData>
            </a:graphic>
          </wp:anchor>
        </w:drawing>
      </w:r>
    </w:p>
    <w:p w:rsidR="006B237C" w:rsidRDefault="00D5727A">
      <w:pPr>
        <w:widowControl w:val="0"/>
        <w:numPr>
          <w:ilvl w:val="0"/>
          <w:numId w:val="4"/>
        </w:num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Cách thức sử dụng: </w:t>
      </w:r>
    </w:p>
    <w:p w:rsidR="006B237C" w:rsidRDefault="00D5727A">
      <w:pPr>
        <w:widowControl w:val="0"/>
        <w:numPr>
          <w:ilvl w:val="0"/>
          <w:numId w:val="5"/>
        </w:num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Danh sách các mã giảm giá của khách hàng sẽ được hiển thị trong </w:t>
      </w:r>
      <w:r>
        <w:rPr>
          <w:rFonts w:ascii="Times New Roman" w:eastAsia="Times New Roman" w:hAnsi="Times New Roman" w:cs="Times New Roman"/>
          <w:b/>
        </w:rPr>
        <w:t xml:space="preserve">Ví Khuyến mại </w:t>
      </w:r>
      <w:r>
        <w:rPr>
          <w:rFonts w:ascii="Times New Roman" w:eastAsia="Times New Roman" w:hAnsi="Times New Roman" w:cs="Times New Roman"/>
        </w:rPr>
        <w:t>của khách hàng. Tại đây khách hàng có thể xem được các mã giảm giá đã được tặng và sử dụng cho các đơn hàng mua sắm lần sau.</w:t>
      </w:r>
    </w:p>
    <w:p w:rsidR="006B237C" w:rsidRDefault="00D5727A">
      <w:pPr>
        <w:widowControl w:val="0"/>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en-US"/>
        </w:rPr>
        <w:drawing>
          <wp:inline distT="0" distB="0" distL="0" distR="0">
            <wp:extent cx="1361354" cy="2945150"/>
            <wp:effectExtent l="0" t="0" r="0" b="0"/>
            <wp:docPr id="40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361354" cy="2945150"/>
                    </a:xfrm>
                    <a:prstGeom prst="rect">
                      <a:avLst/>
                    </a:prstGeom>
                    <a:ln/>
                  </pic:spPr>
                </pic:pic>
              </a:graphicData>
            </a:graphic>
          </wp:inline>
        </w:drawing>
      </w:r>
    </w:p>
    <w:p w:rsidR="006B237C" w:rsidRDefault="00D5727A">
      <w:pPr>
        <w:widowControl w:val="0"/>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Hình 3. Danh sách các mã giảm giá của khách hàng sẽ được hiển thị trong </w:t>
      </w:r>
      <w:r>
        <w:rPr>
          <w:rFonts w:ascii="Times New Roman" w:eastAsia="Times New Roman" w:hAnsi="Times New Roman" w:cs="Times New Roman"/>
          <w:b/>
          <w:i/>
        </w:rPr>
        <w:t xml:space="preserve">Ví Khuyến mại </w:t>
      </w:r>
      <w:r>
        <w:rPr>
          <w:rFonts w:ascii="Times New Roman" w:eastAsia="Times New Roman" w:hAnsi="Times New Roman" w:cs="Times New Roman"/>
          <w:i/>
        </w:rPr>
        <w:t>của khách hàng.</w:t>
      </w:r>
    </w:p>
    <w:p w:rsidR="006B237C" w:rsidRDefault="00D5727A">
      <w:pPr>
        <w:widowControl w:val="0"/>
        <w:spacing w:line="360" w:lineRule="auto"/>
        <w:rPr>
          <w:rFonts w:ascii="Times New Roman" w:eastAsia="Times New Roman" w:hAnsi="Times New Roman" w:cs="Times New Roman"/>
          <w:i/>
        </w:rPr>
      </w:pPr>
      <w:r>
        <w:rPr>
          <w:rFonts w:ascii="Times New Roman" w:eastAsia="Times New Roman" w:hAnsi="Times New Roman" w:cs="Times New Roman"/>
          <w:i/>
        </w:rPr>
        <w:t xml:space="preserve">Lưu ý: </w:t>
      </w:r>
    </w:p>
    <w:p w:rsidR="006B237C" w:rsidRDefault="00D5727A">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rsidR="006B237C" w:rsidRDefault="00D5727A">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Thời hạn cuối cùng để khách hàng tham dự chương trình là 22:59 ngày 01/02/2025; 22:59 ngày 02/02/2025; 22:59 ngày 03/02/2025; 22:59 ngày 04/02/2025; 22:59 ngày 05/02/2025; 22:59 ngày 06/02/2025; 22:59 ngày 07/02/2025; 22:59 ngày 08/02/2025; 22:59 ngày 09/02/2025; 22:59 ngày 10/02/2025, 22:59 ngày 11/02/2025, 22:59 ngày 12/02/2025, 22:59 ngày  13/02/2025, 22:59 ngày 14/02/2025, 22:59 ngày 15/02/2025, 22:59 ngày 16/02/2025,  22:59 ngày 17/02/2025,  22:59 ngày 18/02/2025,  22:59 ngày 19/02/2025,  22:59 ngày 20/02/2025.</w:t>
      </w:r>
    </w:p>
    <w:p w:rsidR="006B237C" w:rsidRDefault="00D5727A">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p>
    <w:p w:rsidR="006B237C" w:rsidRDefault="006B237C">
      <w:pPr>
        <w:widowControl w:val="0"/>
        <w:spacing w:line="360" w:lineRule="auto"/>
        <w:rPr>
          <w:rFonts w:ascii="Times New Roman" w:eastAsia="Times New Roman" w:hAnsi="Times New Roman" w:cs="Times New Roman"/>
        </w:rPr>
      </w:pPr>
    </w:p>
    <w:p w:rsidR="006B237C" w:rsidRDefault="00D5727A">
      <w:pPr>
        <w:numPr>
          <w:ilvl w:val="0"/>
          <w:numId w:val="2"/>
        </w:numPr>
        <w:tabs>
          <w:tab w:val="left" w:pos="1530"/>
        </w:tabs>
        <w:spacing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w:t>
      </w:r>
      <w:r>
        <w:rPr>
          <w:rFonts w:ascii="Times New Roman" w:eastAsia="Times New Roman" w:hAnsi="Times New Roman" w:cs="Times New Roman"/>
        </w:rPr>
        <w:lastRenderedPageBreak/>
        <w:t>khuyến mại cho hàng hóa, dịch vụ của thương nhân khác theo thỏa thuận (văn bản thỏa thuận/hợp đồng gửi kèm): không có</w:t>
      </w:r>
    </w:p>
    <w:p w:rsidR="006B237C" w:rsidRDefault="006B237C">
      <w:pPr>
        <w:tabs>
          <w:tab w:val="left" w:pos="1530"/>
        </w:tabs>
        <w:spacing w:line="360" w:lineRule="auto"/>
        <w:jc w:val="both"/>
        <w:rPr>
          <w:rFonts w:ascii="Times New Roman" w:eastAsia="Times New Roman" w:hAnsi="Times New Roman" w:cs="Times New Roman"/>
        </w:rPr>
      </w:pPr>
    </w:p>
    <w:p w:rsidR="006B237C" w:rsidRDefault="006B237C">
      <w:pPr>
        <w:tabs>
          <w:tab w:val="left" w:pos="1530"/>
        </w:tabs>
        <w:spacing w:line="360" w:lineRule="auto"/>
        <w:jc w:val="both"/>
        <w:rPr>
          <w:rFonts w:ascii="Times New Roman" w:eastAsia="Times New Roman" w:hAnsi="Times New Roman" w:cs="Times New Roman"/>
        </w:rPr>
      </w:pPr>
    </w:p>
    <w:p w:rsidR="006B237C" w:rsidRDefault="006B237C">
      <w:pPr>
        <w:tabs>
          <w:tab w:val="left" w:pos="1530"/>
        </w:tabs>
        <w:spacing w:line="360" w:lineRule="auto"/>
        <w:jc w:val="both"/>
        <w:rPr>
          <w:rFonts w:ascii="Times New Roman" w:eastAsia="Times New Roman" w:hAnsi="Times New Roman" w:cs="Times New Roman"/>
        </w:rPr>
      </w:pPr>
    </w:p>
    <w:p w:rsidR="006B237C" w:rsidRDefault="00D5727A">
      <w:pPr>
        <w:spacing w:line="360" w:lineRule="auto"/>
        <w:jc w:val="both"/>
        <w:rPr>
          <w:rFonts w:ascii="Times New Roman" w:eastAsia="Times New Roman" w:hAnsi="Times New Roman" w:cs="Times New Roman"/>
        </w:rPr>
      </w:pPr>
      <w:r>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tbl>
      <w:tblPr>
        <w:tblStyle w:val="afffffffffffffb"/>
        <w:tblW w:w="3108" w:type="dxa"/>
        <w:tblLayout w:type="fixed"/>
        <w:tblLook w:val="0400" w:firstRow="0" w:lastRow="0" w:firstColumn="0" w:lastColumn="0" w:noHBand="0" w:noVBand="1"/>
      </w:tblPr>
      <w:tblGrid>
        <w:gridCol w:w="3108"/>
      </w:tblGrid>
      <w:tr w:rsidR="00C90842" w:rsidTr="00C90842">
        <w:tc>
          <w:tcPr>
            <w:tcW w:w="3108" w:type="dxa"/>
            <w:tcBorders>
              <w:top w:val="nil"/>
              <w:left w:val="nil"/>
              <w:bottom w:val="nil"/>
              <w:right w:val="nil"/>
            </w:tcBorders>
            <w:shd w:val="clear" w:color="auto" w:fill="auto"/>
            <w:tcMar>
              <w:top w:w="0" w:type="dxa"/>
              <w:left w:w="108" w:type="dxa"/>
              <w:bottom w:w="0" w:type="dxa"/>
              <w:right w:w="108" w:type="dxa"/>
            </w:tcMar>
          </w:tcPr>
          <w:p w:rsidR="00C90842" w:rsidRDefault="00C90842">
            <w:pPr>
              <w:spacing w:line="360" w:lineRule="auto"/>
              <w:rPr>
                <w:rFonts w:ascii="Times New Roman" w:eastAsia="Times New Roman" w:hAnsi="Times New Roman" w:cs="Times New Roman"/>
              </w:rPr>
            </w:pPr>
            <w:bookmarkStart w:id="1" w:name="_GoBack"/>
            <w:bookmarkEnd w:id="1"/>
            <w:r>
              <w:rPr>
                <w:rFonts w:ascii="Times New Roman" w:eastAsia="Times New Roman" w:hAnsi="Times New Roman" w:cs="Times New Roman"/>
              </w:rPr>
              <w:t> </w:t>
            </w:r>
          </w:p>
        </w:tc>
      </w:tr>
      <w:tr w:rsidR="00C90842" w:rsidTr="00C90842">
        <w:tc>
          <w:tcPr>
            <w:tcW w:w="3108" w:type="dxa"/>
            <w:tcBorders>
              <w:top w:val="nil"/>
              <w:left w:val="nil"/>
              <w:bottom w:val="nil"/>
              <w:right w:val="nil"/>
            </w:tcBorders>
            <w:shd w:val="clear" w:color="auto" w:fill="auto"/>
            <w:tcMar>
              <w:top w:w="0" w:type="dxa"/>
              <w:left w:w="108" w:type="dxa"/>
              <w:bottom w:w="0" w:type="dxa"/>
              <w:right w:w="108" w:type="dxa"/>
            </w:tcMar>
          </w:tcPr>
          <w:p w:rsidR="00C90842" w:rsidRDefault="00C90842">
            <w:pPr>
              <w:spacing w:line="360" w:lineRule="auto"/>
              <w:rPr>
                <w:rFonts w:ascii="Times New Roman" w:eastAsia="Times New Roman" w:hAnsi="Times New Roman" w:cs="Times New Roman"/>
              </w:rPr>
            </w:pPr>
          </w:p>
        </w:tc>
      </w:tr>
    </w:tbl>
    <w:p w:rsidR="006B237C" w:rsidRDefault="006B237C">
      <w:pPr>
        <w:rPr>
          <w:rFonts w:ascii="Times New Roman" w:eastAsia="Times New Roman" w:hAnsi="Times New Roman" w:cs="Times New Roman"/>
        </w:rPr>
      </w:pPr>
    </w:p>
    <w:sectPr w:rsidR="006B237C">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6A5" w:rsidRDefault="00A676A5">
      <w:pPr>
        <w:spacing w:line="240" w:lineRule="auto"/>
      </w:pPr>
      <w:r>
        <w:separator/>
      </w:r>
    </w:p>
  </w:endnote>
  <w:endnote w:type="continuationSeparator" w:id="0">
    <w:p w:rsidR="00A676A5" w:rsidRDefault="00A676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37C" w:rsidRDefault="006B237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6A5" w:rsidRDefault="00A676A5">
      <w:pPr>
        <w:spacing w:line="240" w:lineRule="auto"/>
      </w:pPr>
      <w:r>
        <w:separator/>
      </w:r>
    </w:p>
  </w:footnote>
  <w:footnote w:type="continuationSeparator" w:id="0">
    <w:p w:rsidR="00A676A5" w:rsidRDefault="00A676A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761951"/>
    <w:multiLevelType w:val="multilevel"/>
    <w:tmpl w:val="C8C6D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E6936C8"/>
    <w:multiLevelType w:val="multilevel"/>
    <w:tmpl w:val="C81C6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494293"/>
    <w:multiLevelType w:val="multilevel"/>
    <w:tmpl w:val="98EC2D3C"/>
    <w:lvl w:ilvl="0">
      <w:start w:val="8"/>
      <w:numFmt w:val="decimal"/>
      <w:lvlText w:val="%1."/>
      <w:lvlJc w:val="left"/>
      <w:pPr>
        <w:ind w:left="360" w:hanging="360"/>
      </w:pPr>
      <w:rPr>
        <w:b/>
      </w:rPr>
    </w:lvl>
    <w:lvl w:ilvl="1">
      <w:start w:val="1"/>
      <w:numFmt w:val="decimal"/>
      <w:lvlText w:val="%1.%2"/>
      <w:lvlJc w:val="left"/>
      <w:pPr>
        <w:ind w:left="6298"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5AF3492"/>
    <w:multiLevelType w:val="multilevel"/>
    <w:tmpl w:val="120CB38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4" w15:restartNumberingAfterBreak="0">
    <w:nsid w:val="78F7733C"/>
    <w:multiLevelType w:val="multilevel"/>
    <w:tmpl w:val="49A83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427B38"/>
    <w:multiLevelType w:val="multilevel"/>
    <w:tmpl w:val="D5628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37C"/>
    <w:rsid w:val="006B237C"/>
    <w:rsid w:val="00A676A5"/>
    <w:rsid w:val="00B22D8B"/>
    <w:rsid w:val="00C90842"/>
    <w:rsid w:val="00D57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10B01"/>
  <w15:docId w15:val="{CAD66B25-4684-4582-936F-CBC436C31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A1AA5"/>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15" w:type="dxa"/>
        <w:bottom w:w="100" w:type="dxa"/>
        <w:right w:w="115" w:type="dxa"/>
      </w:tblCellMar>
    </w:tblPr>
  </w:style>
  <w:style w:type="table" w:customStyle="1" w:styleId="affb">
    <w:basedOn w:val="TableNormal"/>
    <w:tblPr>
      <w:tblStyleRowBandSize w:val="1"/>
      <w:tblStyleColBandSize w:val="1"/>
      <w:tblCellMar>
        <w:top w:w="100" w:type="dxa"/>
        <w:left w:w="115" w:type="dxa"/>
        <w:bottom w:w="100"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 w:type="table" w:customStyle="1" w:styleId="affd">
    <w:basedOn w:val="TableNormal"/>
    <w:tblPr>
      <w:tblStyleRowBandSize w:val="1"/>
      <w:tblStyleColBandSize w:val="1"/>
      <w:tblCellMar>
        <w:top w:w="100" w:type="dxa"/>
        <w:left w:w="115" w:type="dxa"/>
        <w:bottom w:w="100" w:type="dxa"/>
        <w:right w:w="115" w:type="dxa"/>
      </w:tblCellMar>
    </w:tblPr>
  </w:style>
  <w:style w:type="table" w:customStyle="1" w:styleId="affe">
    <w:basedOn w:val="TableNormal"/>
    <w:tblPr>
      <w:tblStyleRowBandSize w:val="1"/>
      <w:tblStyleColBandSize w:val="1"/>
      <w:tblCellMar>
        <w:top w:w="100" w:type="dxa"/>
        <w:left w:w="115" w:type="dxa"/>
        <w:bottom w:w="100" w:type="dxa"/>
        <w:right w:w="115" w:type="dxa"/>
      </w:tblCellMar>
    </w:tblPr>
  </w:style>
  <w:style w:type="table" w:customStyle="1" w:styleId="afff">
    <w:basedOn w:val="TableNormal"/>
    <w:tblPr>
      <w:tblStyleRowBandSize w:val="1"/>
      <w:tblStyleColBandSize w:val="1"/>
      <w:tblCellMar>
        <w:top w:w="100" w:type="dxa"/>
        <w:left w:w="115" w:type="dxa"/>
        <w:bottom w:w="100" w:type="dxa"/>
        <w:right w:w="115" w:type="dxa"/>
      </w:tblCellMar>
    </w:tblPr>
  </w:style>
  <w:style w:type="table" w:customStyle="1" w:styleId="afff0">
    <w:basedOn w:val="TableNormal"/>
    <w:tblPr>
      <w:tblStyleRowBandSize w:val="1"/>
      <w:tblStyleColBandSize w:val="1"/>
      <w:tblCellMar>
        <w:top w:w="100" w:type="dxa"/>
        <w:left w:w="115" w:type="dxa"/>
        <w:bottom w:w="100" w:type="dxa"/>
        <w:right w:w="115" w:type="dxa"/>
      </w:tblCellMar>
    </w:tblPr>
  </w:style>
  <w:style w:type="table" w:customStyle="1" w:styleId="afff1">
    <w:basedOn w:val="TableNormal"/>
    <w:tblPr>
      <w:tblStyleRowBandSize w:val="1"/>
      <w:tblStyleColBandSize w:val="1"/>
      <w:tblCellMar>
        <w:top w:w="100" w:type="dxa"/>
        <w:left w:w="115" w:type="dxa"/>
        <w:bottom w:w="100" w:type="dxa"/>
        <w:right w:w="115" w:type="dxa"/>
      </w:tblCellMar>
    </w:tblPr>
  </w:style>
  <w:style w:type="table" w:customStyle="1" w:styleId="afff2">
    <w:basedOn w:val="TableNormal"/>
    <w:tblPr>
      <w:tblStyleRowBandSize w:val="1"/>
      <w:tblStyleColBandSize w:val="1"/>
      <w:tblCellMar>
        <w:top w:w="100" w:type="dxa"/>
        <w:left w:w="115" w:type="dxa"/>
        <w:bottom w:w="100" w:type="dxa"/>
        <w:right w:w="115" w:type="dxa"/>
      </w:tblCellMar>
    </w:tblPr>
  </w:style>
  <w:style w:type="table" w:customStyle="1" w:styleId="afff3">
    <w:basedOn w:val="TableNormal"/>
    <w:tblPr>
      <w:tblStyleRowBandSize w:val="1"/>
      <w:tblStyleColBandSize w:val="1"/>
      <w:tblCellMar>
        <w:top w:w="100" w:type="dxa"/>
        <w:left w:w="115" w:type="dxa"/>
        <w:bottom w:w="100" w:type="dxa"/>
        <w:right w:w="115" w:type="dxa"/>
      </w:tblCellMar>
    </w:tblPr>
  </w:style>
  <w:style w:type="table" w:customStyle="1" w:styleId="afff4">
    <w:basedOn w:val="TableNormal"/>
    <w:tblPr>
      <w:tblStyleRowBandSize w:val="1"/>
      <w:tblStyleColBandSize w:val="1"/>
      <w:tblCellMar>
        <w:top w:w="100" w:type="dxa"/>
        <w:left w:w="115" w:type="dxa"/>
        <w:bottom w:w="100" w:type="dxa"/>
        <w:right w:w="115" w:type="dxa"/>
      </w:tblCellMar>
    </w:tblPr>
  </w:style>
  <w:style w:type="table" w:customStyle="1" w:styleId="afff5">
    <w:basedOn w:val="TableNormal"/>
    <w:tblPr>
      <w:tblStyleRowBandSize w:val="1"/>
      <w:tblStyleColBandSize w:val="1"/>
      <w:tblCellMar>
        <w:top w:w="100" w:type="dxa"/>
        <w:left w:w="115" w:type="dxa"/>
        <w:bottom w:w="100" w:type="dxa"/>
        <w:right w:w="115" w:type="dxa"/>
      </w:tblCellMar>
    </w:tblPr>
  </w:style>
  <w:style w:type="table" w:customStyle="1" w:styleId="afff6">
    <w:basedOn w:val="TableNormal"/>
    <w:tblPr>
      <w:tblStyleRowBandSize w:val="1"/>
      <w:tblStyleColBandSize w:val="1"/>
      <w:tblCellMar>
        <w:top w:w="100" w:type="dxa"/>
        <w:left w:w="115" w:type="dxa"/>
        <w:bottom w:w="100" w:type="dxa"/>
        <w:right w:w="115" w:type="dxa"/>
      </w:tblCellMar>
    </w:tblPr>
  </w:style>
  <w:style w:type="table" w:customStyle="1" w:styleId="afff7">
    <w:basedOn w:val="TableNormal"/>
    <w:tblPr>
      <w:tblStyleRowBandSize w:val="1"/>
      <w:tblStyleColBandSize w:val="1"/>
      <w:tblCellMar>
        <w:top w:w="100" w:type="dxa"/>
        <w:left w:w="115" w:type="dxa"/>
        <w:bottom w:w="100" w:type="dxa"/>
        <w:right w:w="115" w:type="dxa"/>
      </w:tblCellMar>
    </w:tblPr>
  </w:style>
  <w:style w:type="table" w:customStyle="1" w:styleId="afff8">
    <w:basedOn w:val="TableNormal"/>
    <w:tblPr>
      <w:tblStyleRowBandSize w:val="1"/>
      <w:tblStyleColBandSize w:val="1"/>
      <w:tblCellMar>
        <w:top w:w="100" w:type="dxa"/>
        <w:left w:w="115" w:type="dxa"/>
        <w:bottom w:w="100" w:type="dxa"/>
        <w:right w:w="115" w:type="dxa"/>
      </w:tblCellMar>
    </w:tblPr>
  </w:style>
  <w:style w:type="table" w:customStyle="1" w:styleId="afff9">
    <w:basedOn w:val="TableNormal"/>
    <w:tblPr>
      <w:tblStyleRowBandSize w:val="1"/>
      <w:tblStyleColBandSize w:val="1"/>
      <w:tblCellMar>
        <w:top w:w="100" w:type="dxa"/>
        <w:left w:w="115" w:type="dxa"/>
        <w:bottom w:w="100" w:type="dxa"/>
        <w:right w:w="115" w:type="dxa"/>
      </w:tblCellMar>
    </w:tblPr>
  </w:style>
  <w:style w:type="table" w:customStyle="1" w:styleId="afffa">
    <w:basedOn w:val="TableNormal"/>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top w:w="100" w:type="dxa"/>
        <w:left w:w="115" w:type="dxa"/>
        <w:bottom w:w="100" w:type="dxa"/>
        <w:right w:w="115" w:type="dxa"/>
      </w:tblCellMar>
    </w:tblPr>
  </w:style>
  <w:style w:type="table" w:customStyle="1" w:styleId="afffc">
    <w:basedOn w:val="TableNormal"/>
    <w:tblPr>
      <w:tblStyleRowBandSize w:val="1"/>
      <w:tblStyleColBandSize w:val="1"/>
      <w:tblCellMar>
        <w:top w:w="100" w:type="dxa"/>
        <w:left w:w="115" w:type="dxa"/>
        <w:bottom w:w="100" w:type="dxa"/>
        <w:right w:w="115" w:type="dxa"/>
      </w:tblCellMar>
    </w:tblPr>
  </w:style>
  <w:style w:type="table" w:customStyle="1" w:styleId="afffd">
    <w:basedOn w:val="TableNormal"/>
    <w:tblPr>
      <w:tblStyleRowBandSize w:val="1"/>
      <w:tblStyleColBandSize w:val="1"/>
      <w:tblCellMar>
        <w:top w:w="100" w:type="dxa"/>
        <w:left w:w="115" w:type="dxa"/>
        <w:bottom w:w="100" w:type="dxa"/>
        <w:right w:w="115" w:type="dxa"/>
      </w:tblCellMar>
    </w:tblPr>
  </w:style>
  <w:style w:type="table" w:customStyle="1" w:styleId="afffe">
    <w:basedOn w:val="TableNormal"/>
    <w:tblPr>
      <w:tblStyleRowBandSize w:val="1"/>
      <w:tblStyleColBandSize w:val="1"/>
      <w:tblCellMar>
        <w:top w:w="100" w:type="dxa"/>
        <w:left w:w="115" w:type="dxa"/>
        <w:bottom w:w="100" w:type="dxa"/>
        <w:right w:w="115" w:type="dxa"/>
      </w:tblCellMar>
    </w:tblPr>
  </w:style>
  <w:style w:type="table" w:customStyle="1" w:styleId="affff">
    <w:basedOn w:val="TableNormal"/>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top w:w="100" w:type="dxa"/>
        <w:left w:w="115" w:type="dxa"/>
        <w:bottom w:w="100" w:type="dxa"/>
        <w:right w:w="115" w:type="dxa"/>
      </w:tblCellMar>
    </w:tblPr>
  </w:style>
  <w:style w:type="table" w:customStyle="1" w:styleId="affff1">
    <w:basedOn w:val="TableNormal"/>
    <w:tblPr>
      <w:tblStyleRowBandSize w:val="1"/>
      <w:tblStyleColBandSize w:val="1"/>
      <w:tblCellMar>
        <w:top w:w="100" w:type="dxa"/>
        <w:left w:w="115" w:type="dxa"/>
        <w:bottom w:w="100" w:type="dxa"/>
        <w:right w:w="115" w:type="dxa"/>
      </w:tblCellMar>
    </w:tblPr>
  </w:style>
  <w:style w:type="table" w:customStyle="1" w:styleId="affff2">
    <w:basedOn w:val="TableNormal"/>
    <w:tblPr>
      <w:tblStyleRowBandSize w:val="1"/>
      <w:tblStyleColBandSize w:val="1"/>
      <w:tblCellMar>
        <w:top w:w="100" w:type="dxa"/>
        <w:left w:w="115" w:type="dxa"/>
        <w:bottom w:w="100" w:type="dxa"/>
        <w:right w:w="115" w:type="dxa"/>
      </w:tblCellMar>
    </w:tblPr>
  </w:style>
  <w:style w:type="table" w:customStyle="1" w:styleId="affff3">
    <w:basedOn w:val="TableNormal"/>
    <w:tblPr>
      <w:tblStyleRowBandSize w:val="1"/>
      <w:tblStyleColBandSize w:val="1"/>
      <w:tblCellMar>
        <w:top w:w="100" w:type="dxa"/>
        <w:left w:w="115" w:type="dxa"/>
        <w:bottom w:w="100" w:type="dxa"/>
        <w:right w:w="115" w:type="dxa"/>
      </w:tblCellMar>
    </w:tblPr>
  </w:style>
  <w:style w:type="table" w:customStyle="1" w:styleId="affff4">
    <w:basedOn w:val="TableNormal"/>
    <w:tblPr>
      <w:tblStyleRowBandSize w:val="1"/>
      <w:tblStyleColBandSize w:val="1"/>
      <w:tblCellMar>
        <w:top w:w="100" w:type="dxa"/>
        <w:left w:w="115" w:type="dxa"/>
        <w:bottom w:w="100" w:type="dxa"/>
        <w:right w:w="115" w:type="dxa"/>
      </w:tblCellMar>
    </w:tblPr>
  </w:style>
  <w:style w:type="table" w:customStyle="1" w:styleId="affff5">
    <w:basedOn w:val="TableNormal"/>
    <w:tblPr>
      <w:tblStyleRowBandSize w:val="1"/>
      <w:tblStyleColBandSize w:val="1"/>
      <w:tblCellMar>
        <w:top w:w="100" w:type="dxa"/>
        <w:left w:w="115" w:type="dxa"/>
        <w:bottom w:w="100" w:type="dxa"/>
        <w:right w:w="115" w:type="dxa"/>
      </w:tblCellMar>
    </w:tblPr>
  </w:style>
  <w:style w:type="table" w:customStyle="1" w:styleId="affff6">
    <w:basedOn w:val="TableNormal"/>
    <w:tblPr>
      <w:tblStyleRowBandSize w:val="1"/>
      <w:tblStyleColBandSize w:val="1"/>
      <w:tblCellMar>
        <w:top w:w="100" w:type="dxa"/>
        <w:left w:w="115" w:type="dxa"/>
        <w:bottom w:w="100" w:type="dxa"/>
        <w:right w:w="115" w:type="dxa"/>
      </w:tblCellMar>
    </w:tblPr>
  </w:style>
  <w:style w:type="table" w:customStyle="1" w:styleId="affff7">
    <w:basedOn w:val="TableNormal"/>
    <w:tblPr>
      <w:tblStyleRowBandSize w:val="1"/>
      <w:tblStyleColBandSize w:val="1"/>
      <w:tblCellMar>
        <w:top w:w="100" w:type="dxa"/>
        <w:left w:w="115" w:type="dxa"/>
        <w:bottom w:w="100" w:type="dxa"/>
        <w:right w:w="115" w:type="dxa"/>
      </w:tblCellMar>
    </w:tblPr>
  </w:style>
  <w:style w:type="table" w:customStyle="1" w:styleId="affff8">
    <w:basedOn w:val="TableNormal"/>
    <w:tblPr>
      <w:tblStyleRowBandSize w:val="1"/>
      <w:tblStyleColBandSize w:val="1"/>
      <w:tblCellMar>
        <w:top w:w="100" w:type="dxa"/>
        <w:left w:w="115" w:type="dxa"/>
        <w:bottom w:w="100" w:type="dxa"/>
        <w:right w:w="115" w:type="dxa"/>
      </w:tblCellMar>
    </w:tblPr>
  </w:style>
  <w:style w:type="table" w:customStyle="1" w:styleId="affff9">
    <w:basedOn w:val="TableNormal"/>
    <w:tblPr>
      <w:tblStyleRowBandSize w:val="1"/>
      <w:tblStyleColBandSize w:val="1"/>
      <w:tblCellMar>
        <w:top w:w="100" w:type="dxa"/>
        <w:left w:w="115" w:type="dxa"/>
        <w:bottom w:w="100" w:type="dxa"/>
        <w:right w:w="115" w:type="dxa"/>
      </w:tblCellMar>
    </w:tblPr>
  </w:style>
  <w:style w:type="table" w:customStyle="1" w:styleId="affffa">
    <w:basedOn w:val="TableNormal"/>
    <w:tblPr>
      <w:tblStyleRowBandSize w:val="1"/>
      <w:tblStyleColBandSize w:val="1"/>
      <w:tblCellMar>
        <w:top w:w="100" w:type="dxa"/>
        <w:left w:w="115" w:type="dxa"/>
        <w:bottom w:w="100" w:type="dxa"/>
        <w:right w:w="115" w:type="dxa"/>
      </w:tblCellMar>
    </w:tblPr>
  </w:style>
  <w:style w:type="table" w:customStyle="1" w:styleId="affffb">
    <w:basedOn w:val="TableNormal"/>
    <w:tblPr>
      <w:tblStyleRowBandSize w:val="1"/>
      <w:tblStyleColBandSize w:val="1"/>
      <w:tblCellMar>
        <w:top w:w="100" w:type="dxa"/>
        <w:left w:w="115" w:type="dxa"/>
        <w:bottom w:w="100" w:type="dxa"/>
        <w:right w:w="115" w:type="dxa"/>
      </w:tblCellMar>
    </w:tblPr>
  </w:style>
  <w:style w:type="table" w:customStyle="1" w:styleId="affffc">
    <w:basedOn w:val="TableNormal"/>
    <w:tblPr>
      <w:tblStyleRowBandSize w:val="1"/>
      <w:tblStyleColBandSize w:val="1"/>
      <w:tblCellMar>
        <w:top w:w="100" w:type="dxa"/>
        <w:left w:w="115" w:type="dxa"/>
        <w:bottom w:w="100" w:type="dxa"/>
        <w:right w:w="115" w:type="dxa"/>
      </w:tblCellMar>
    </w:tblPr>
  </w:style>
  <w:style w:type="table" w:customStyle="1" w:styleId="affffd">
    <w:basedOn w:val="TableNormal"/>
    <w:tblPr>
      <w:tblStyleRowBandSize w:val="1"/>
      <w:tblStyleColBandSize w:val="1"/>
      <w:tblCellMar>
        <w:top w:w="100" w:type="dxa"/>
        <w:left w:w="115" w:type="dxa"/>
        <w:bottom w:w="100" w:type="dxa"/>
        <w:right w:w="115" w:type="dxa"/>
      </w:tblCellMar>
    </w:tblPr>
  </w:style>
  <w:style w:type="table" w:customStyle="1" w:styleId="affffe">
    <w:basedOn w:val="TableNormal"/>
    <w:tblPr>
      <w:tblStyleRowBandSize w:val="1"/>
      <w:tblStyleColBandSize w:val="1"/>
      <w:tblCellMar>
        <w:top w:w="100" w:type="dxa"/>
        <w:left w:w="115" w:type="dxa"/>
        <w:bottom w:w="100" w:type="dxa"/>
        <w:right w:w="115" w:type="dxa"/>
      </w:tblCellMar>
    </w:tblPr>
  </w:style>
  <w:style w:type="table" w:customStyle="1" w:styleId="afffff">
    <w:basedOn w:val="TableNormal"/>
    <w:tblPr>
      <w:tblStyleRowBandSize w:val="1"/>
      <w:tblStyleColBandSize w:val="1"/>
      <w:tblCellMar>
        <w:top w:w="100" w:type="dxa"/>
        <w:left w:w="115" w:type="dxa"/>
        <w:bottom w:w="100" w:type="dxa"/>
        <w:right w:w="115" w:type="dxa"/>
      </w:tblCellMar>
    </w:tblPr>
  </w:style>
  <w:style w:type="table" w:customStyle="1" w:styleId="afffff0">
    <w:basedOn w:val="TableNormal"/>
    <w:tblPr>
      <w:tblStyleRowBandSize w:val="1"/>
      <w:tblStyleColBandSize w:val="1"/>
      <w:tblCellMar>
        <w:top w:w="100" w:type="dxa"/>
        <w:left w:w="115" w:type="dxa"/>
        <w:bottom w:w="100" w:type="dxa"/>
        <w:right w:w="115" w:type="dxa"/>
      </w:tblCellMar>
    </w:tblPr>
  </w:style>
  <w:style w:type="table" w:customStyle="1" w:styleId="afffff1">
    <w:basedOn w:val="TableNormal"/>
    <w:tblPr>
      <w:tblStyleRowBandSize w:val="1"/>
      <w:tblStyleColBandSize w:val="1"/>
      <w:tblCellMar>
        <w:top w:w="100" w:type="dxa"/>
        <w:left w:w="115" w:type="dxa"/>
        <w:bottom w:w="100" w:type="dxa"/>
        <w:right w:w="115" w:type="dxa"/>
      </w:tblCellMar>
    </w:tblPr>
  </w:style>
  <w:style w:type="table" w:customStyle="1" w:styleId="afffff2">
    <w:basedOn w:val="TableNormal"/>
    <w:tblPr>
      <w:tblStyleRowBandSize w:val="1"/>
      <w:tblStyleColBandSize w:val="1"/>
      <w:tblCellMar>
        <w:top w:w="100" w:type="dxa"/>
        <w:left w:w="115" w:type="dxa"/>
        <w:bottom w:w="100" w:type="dxa"/>
        <w:right w:w="115" w:type="dxa"/>
      </w:tblCellMar>
    </w:tblPr>
  </w:style>
  <w:style w:type="table" w:customStyle="1" w:styleId="afffff3">
    <w:basedOn w:val="TableNormal"/>
    <w:tblPr>
      <w:tblStyleRowBandSize w:val="1"/>
      <w:tblStyleColBandSize w:val="1"/>
      <w:tblCellMar>
        <w:top w:w="100" w:type="dxa"/>
        <w:left w:w="115" w:type="dxa"/>
        <w:bottom w:w="100" w:type="dxa"/>
        <w:right w:w="115" w:type="dxa"/>
      </w:tblCellMar>
    </w:tblPr>
  </w:style>
  <w:style w:type="table" w:customStyle="1" w:styleId="afffff4">
    <w:basedOn w:val="TableNormal"/>
    <w:tblPr>
      <w:tblStyleRowBandSize w:val="1"/>
      <w:tblStyleColBandSize w:val="1"/>
      <w:tblCellMar>
        <w:top w:w="100" w:type="dxa"/>
        <w:left w:w="115" w:type="dxa"/>
        <w:bottom w:w="100" w:type="dxa"/>
        <w:right w:w="115" w:type="dxa"/>
      </w:tblCellMar>
    </w:tblPr>
  </w:style>
  <w:style w:type="table" w:customStyle="1" w:styleId="afffff5">
    <w:basedOn w:val="TableNormal"/>
    <w:tblPr>
      <w:tblStyleRowBandSize w:val="1"/>
      <w:tblStyleColBandSize w:val="1"/>
      <w:tblCellMar>
        <w:top w:w="100" w:type="dxa"/>
        <w:left w:w="115" w:type="dxa"/>
        <w:bottom w:w="100" w:type="dxa"/>
        <w:right w:w="115" w:type="dxa"/>
      </w:tblCellMar>
    </w:tblPr>
  </w:style>
  <w:style w:type="table" w:customStyle="1" w:styleId="afffff6">
    <w:basedOn w:val="TableNormal"/>
    <w:tblPr>
      <w:tblStyleRowBandSize w:val="1"/>
      <w:tblStyleColBandSize w:val="1"/>
      <w:tblCellMar>
        <w:top w:w="100" w:type="dxa"/>
        <w:left w:w="115" w:type="dxa"/>
        <w:bottom w:w="100" w:type="dxa"/>
        <w:right w:w="115" w:type="dxa"/>
      </w:tblCellMar>
    </w:tblPr>
  </w:style>
  <w:style w:type="table" w:customStyle="1" w:styleId="afffff7">
    <w:basedOn w:val="TableNormal"/>
    <w:tblPr>
      <w:tblStyleRowBandSize w:val="1"/>
      <w:tblStyleColBandSize w:val="1"/>
      <w:tblCellMar>
        <w:top w:w="100" w:type="dxa"/>
        <w:left w:w="115" w:type="dxa"/>
        <w:bottom w:w="100" w:type="dxa"/>
        <w:right w:w="115" w:type="dxa"/>
      </w:tblCellMar>
    </w:tblPr>
  </w:style>
  <w:style w:type="table" w:customStyle="1" w:styleId="afffff8">
    <w:basedOn w:val="TableNormal"/>
    <w:tblPr>
      <w:tblStyleRowBandSize w:val="1"/>
      <w:tblStyleColBandSize w:val="1"/>
      <w:tblCellMar>
        <w:top w:w="100" w:type="dxa"/>
        <w:left w:w="115" w:type="dxa"/>
        <w:bottom w:w="100" w:type="dxa"/>
        <w:right w:w="115" w:type="dxa"/>
      </w:tblCellMar>
    </w:tblPr>
  </w:style>
  <w:style w:type="table" w:customStyle="1" w:styleId="afffff9">
    <w:basedOn w:val="TableNormal"/>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top w:w="100" w:type="dxa"/>
        <w:left w:w="115" w:type="dxa"/>
        <w:bottom w:w="100" w:type="dxa"/>
        <w:right w:w="115" w:type="dxa"/>
      </w:tblCellMar>
    </w:tblPr>
  </w:style>
  <w:style w:type="table" w:customStyle="1" w:styleId="afffffb">
    <w:basedOn w:val="TableNormal"/>
    <w:tblPr>
      <w:tblStyleRowBandSize w:val="1"/>
      <w:tblStyleColBandSize w:val="1"/>
      <w:tblCellMar>
        <w:top w:w="100" w:type="dxa"/>
        <w:left w:w="115" w:type="dxa"/>
        <w:bottom w:w="100" w:type="dxa"/>
        <w:right w:w="115" w:type="dxa"/>
      </w:tblCellMar>
    </w:tblPr>
  </w:style>
  <w:style w:type="table" w:customStyle="1" w:styleId="afffffc">
    <w:basedOn w:val="TableNormal"/>
    <w:tblPr>
      <w:tblStyleRowBandSize w:val="1"/>
      <w:tblStyleColBandSize w:val="1"/>
      <w:tblCellMar>
        <w:top w:w="100" w:type="dxa"/>
        <w:left w:w="115" w:type="dxa"/>
        <w:bottom w:w="100" w:type="dxa"/>
        <w:right w:w="115" w:type="dxa"/>
      </w:tblCellMar>
    </w:tblPr>
  </w:style>
  <w:style w:type="table" w:customStyle="1" w:styleId="afffffd">
    <w:basedOn w:val="TableNormal"/>
    <w:tblPr>
      <w:tblStyleRowBandSize w:val="1"/>
      <w:tblStyleColBandSize w:val="1"/>
      <w:tblCellMar>
        <w:top w:w="100" w:type="dxa"/>
        <w:left w:w="115" w:type="dxa"/>
        <w:bottom w:w="100" w:type="dxa"/>
        <w:right w:w="115" w:type="dxa"/>
      </w:tblCellMar>
    </w:tblPr>
  </w:style>
  <w:style w:type="table" w:customStyle="1" w:styleId="afffffe">
    <w:basedOn w:val="TableNormal"/>
    <w:tblPr>
      <w:tblStyleRowBandSize w:val="1"/>
      <w:tblStyleColBandSize w:val="1"/>
      <w:tblCellMar>
        <w:top w:w="100" w:type="dxa"/>
        <w:left w:w="115" w:type="dxa"/>
        <w:bottom w:w="100" w:type="dxa"/>
        <w:right w:w="115" w:type="dxa"/>
      </w:tblCellMar>
    </w:tblPr>
  </w:style>
  <w:style w:type="table" w:customStyle="1" w:styleId="affffff">
    <w:basedOn w:val="TableNormal"/>
    <w:tblPr>
      <w:tblStyleRowBandSize w:val="1"/>
      <w:tblStyleColBandSize w:val="1"/>
      <w:tblCellMar>
        <w:top w:w="100" w:type="dxa"/>
        <w:left w:w="115" w:type="dxa"/>
        <w:bottom w:w="100" w:type="dxa"/>
        <w:right w:w="115" w:type="dxa"/>
      </w:tblCellMar>
    </w:tblPr>
  </w:style>
  <w:style w:type="table" w:customStyle="1" w:styleId="affffff0">
    <w:basedOn w:val="TableNormal"/>
    <w:tblPr>
      <w:tblStyleRowBandSize w:val="1"/>
      <w:tblStyleColBandSize w:val="1"/>
      <w:tblCellMar>
        <w:top w:w="100" w:type="dxa"/>
        <w:left w:w="115" w:type="dxa"/>
        <w:bottom w:w="100" w:type="dxa"/>
        <w:right w:w="115" w:type="dxa"/>
      </w:tblCellMar>
    </w:tblPr>
  </w:style>
  <w:style w:type="table" w:customStyle="1" w:styleId="affffff1">
    <w:basedOn w:val="TableNormal"/>
    <w:tblPr>
      <w:tblStyleRowBandSize w:val="1"/>
      <w:tblStyleColBandSize w:val="1"/>
      <w:tblCellMar>
        <w:top w:w="100" w:type="dxa"/>
        <w:left w:w="115" w:type="dxa"/>
        <w:bottom w:w="100" w:type="dxa"/>
        <w:right w:w="115" w:type="dxa"/>
      </w:tblCellMar>
    </w:tblPr>
  </w:style>
  <w:style w:type="table" w:customStyle="1" w:styleId="affffff2">
    <w:basedOn w:val="TableNormal"/>
    <w:tblPr>
      <w:tblStyleRowBandSize w:val="1"/>
      <w:tblStyleColBandSize w:val="1"/>
      <w:tblCellMar>
        <w:top w:w="100" w:type="dxa"/>
        <w:left w:w="115" w:type="dxa"/>
        <w:bottom w:w="100" w:type="dxa"/>
        <w:right w:w="115" w:type="dxa"/>
      </w:tblCellMar>
    </w:tblPr>
  </w:style>
  <w:style w:type="table" w:customStyle="1" w:styleId="affffff3">
    <w:basedOn w:val="TableNormal"/>
    <w:tblPr>
      <w:tblStyleRowBandSize w:val="1"/>
      <w:tblStyleColBandSize w:val="1"/>
      <w:tblCellMar>
        <w:top w:w="100" w:type="dxa"/>
        <w:left w:w="115" w:type="dxa"/>
        <w:bottom w:w="100" w:type="dxa"/>
        <w:right w:w="115" w:type="dxa"/>
      </w:tblCellMar>
    </w:tblPr>
  </w:style>
  <w:style w:type="table" w:customStyle="1" w:styleId="affffff4">
    <w:basedOn w:val="TableNormal"/>
    <w:tblPr>
      <w:tblStyleRowBandSize w:val="1"/>
      <w:tblStyleColBandSize w:val="1"/>
      <w:tblCellMar>
        <w:top w:w="100" w:type="dxa"/>
        <w:left w:w="115" w:type="dxa"/>
        <w:bottom w:w="100" w:type="dxa"/>
        <w:right w:w="115" w:type="dxa"/>
      </w:tblCellMar>
    </w:tblPr>
  </w:style>
  <w:style w:type="table" w:customStyle="1" w:styleId="affffff5">
    <w:basedOn w:val="TableNormal"/>
    <w:tblPr>
      <w:tblStyleRowBandSize w:val="1"/>
      <w:tblStyleColBandSize w:val="1"/>
      <w:tblCellMar>
        <w:top w:w="100" w:type="dxa"/>
        <w:left w:w="115" w:type="dxa"/>
        <w:bottom w:w="100" w:type="dxa"/>
        <w:right w:w="115" w:type="dxa"/>
      </w:tblCellMar>
    </w:tblPr>
  </w:style>
  <w:style w:type="table" w:customStyle="1" w:styleId="affffff6">
    <w:basedOn w:val="TableNormal"/>
    <w:tblPr>
      <w:tblStyleRowBandSize w:val="1"/>
      <w:tblStyleColBandSize w:val="1"/>
      <w:tblCellMar>
        <w:top w:w="100" w:type="dxa"/>
        <w:left w:w="115" w:type="dxa"/>
        <w:bottom w:w="100" w:type="dxa"/>
        <w:right w:w="115" w:type="dxa"/>
      </w:tblCellMar>
    </w:tblPr>
  </w:style>
  <w:style w:type="table" w:customStyle="1" w:styleId="affffff7">
    <w:basedOn w:val="TableNormal"/>
    <w:tblPr>
      <w:tblStyleRowBandSize w:val="1"/>
      <w:tblStyleColBandSize w:val="1"/>
      <w:tblCellMar>
        <w:top w:w="100" w:type="dxa"/>
        <w:left w:w="115" w:type="dxa"/>
        <w:bottom w:w="100" w:type="dxa"/>
        <w:right w:w="115" w:type="dxa"/>
      </w:tblCellMar>
    </w:tblPr>
  </w:style>
  <w:style w:type="table" w:customStyle="1" w:styleId="affffff8">
    <w:basedOn w:val="TableNormal"/>
    <w:tblPr>
      <w:tblStyleRowBandSize w:val="1"/>
      <w:tblStyleColBandSize w:val="1"/>
      <w:tblCellMar>
        <w:top w:w="100" w:type="dxa"/>
        <w:left w:w="115" w:type="dxa"/>
        <w:bottom w:w="100" w:type="dxa"/>
        <w:right w:w="115" w:type="dxa"/>
      </w:tblCellMar>
    </w:tblPr>
  </w:style>
  <w:style w:type="table" w:customStyle="1" w:styleId="affffff9">
    <w:basedOn w:val="TableNormal"/>
    <w:tblPr>
      <w:tblStyleRowBandSize w:val="1"/>
      <w:tblStyleColBandSize w:val="1"/>
      <w:tblCellMar>
        <w:top w:w="100" w:type="dxa"/>
        <w:left w:w="115" w:type="dxa"/>
        <w:bottom w:w="100" w:type="dxa"/>
        <w:right w:w="115" w:type="dxa"/>
      </w:tblCellMar>
    </w:tblPr>
  </w:style>
  <w:style w:type="table" w:customStyle="1" w:styleId="affffffa">
    <w:basedOn w:val="TableNormal"/>
    <w:tblPr>
      <w:tblStyleRowBandSize w:val="1"/>
      <w:tblStyleColBandSize w:val="1"/>
      <w:tblCellMar>
        <w:top w:w="100" w:type="dxa"/>
        <w:left w:w="115" w:type="dxa"/>
        <w:bottom w:w="100" w:type="dxa"/>
        <w:right w:w="115" w:type="dxa"/>
      </w:tblCellMar>
    </w:tblPr>
  </w:style>
  <w:style w:type="table" w:customStyle="1" w:styleId="affffffb">
    <w:basedOn w:val="TableNormal"/>
    <w:tblPr>
      <w:tblStyleRowBandSize w:val="1"/>
      <w:tblStyleColBandSize w:val="1"/>
      <w:tblCellMar>
        <w:top w:w="100" w:type="dxa"/>
        <w:left w:w="115" w:type="dxa"/>
        <w:bottom w:w="100" w:type="dxa"/>
        <w:right w:w="115" w:type="dxa"/>
      </w:tblCellMar>
    </w:tblPr>
  </w:style>
  <w:style w:type="table" w:customStyle="1" w:styleId="affffffc">
    <w:basedOn w:val="TableNormal"/>
    <w:tblPr>
      <w:tblStyleRowBandSize w:val="1"/>
      <w:tblStyleColBandSize w:val="1"/>
      <w:tblCellMar>
        <w:top w:w="100" w:type="dxa"/>
        <w:left w:w="115" w:type="dxa"/>
        <w:bottom w:w="100" w:type="dxa"/>
        <w:right w:w="115" w:type="dxa"/>
      </w:tblCellMar>
    </w:tblPr>
  </w:style>
  <w:style w:type="table" w:customStyle="1" w:styleId="affffffd">
    <w:basedOn w:val="TableNormal"/>
    <w:tblPr>
      <w:tblStyleRowBandSize w:val="1"/>
      <w:tblStyleColBandSize w:val="1"/>
      <w:tblCellMar>
        <w:top w:w="100" w:type="dxa"/>
        <w:left w:w="115" w:type="dxa"/>
        <w:bottom w:w="100" w:type="dxa"/>
        <w:right w:w="115" w:type="dxa"/>
      </w:tblCellMar>
    </w:tblPr>
  </w:style>
  <w:style w:type="table" w:customStyle="1" w:styleId="affffffe">
    <w:basedOn w:val="TableNormal"/>
    <w:tblPr>
      <w:tblStyleRowBandSize w:val="1"/>
      <w:tblStyleColBandSize w:val="1"/>
      <w:tblCellMar>
        <w:top w:w="100" w:type="dxa"/>
        <w:left w:w="115" w:type="dxa"/>
        <w:bottom w:w="100" w:type="dxa"/>
        <w:right w:w="115" w:type="dxa"/>
      </w:tblCellMar>
    </w:tblPr>
  </w:style>
  <w:style w:type="table" w:customStyle="1" w:styleId="afffffff">
    <w:basedOn w:val="TableNormal"/>
    <w:tblPr>
      <w:tblStyleRowBandSize w:val="1"/>
      <w:tblStyleColBandSize w:val="1"/>
      <w:tblCellMar>
        <w:top w:w="100" w:type="dxa"/>
        <w:left w:w="115" w:type="dxa"/>
        <w:bottom w:w="100" w:type="dxa"/>
        <w:right w:w="115" w:type="dxa"/>
      </w:tblCellMar>
    </w:tblPr>
  </w:style>
  <w:style w:type="table" w:customStyle="1" w:styleId="afffffff0">
    <w:basedOn w:val="TableNormal"/>
    <w:tblPr>
      <w:tblStyleRowBandSize w:val="1"/>
      <w:tblStyleColBandSize w:val="1"/>
      <w:tblCellMar>
        <w:top w:w="100" w:type="dxa"/>
        <w:left w:w="115" w:type="dxa"/>
        <w:bottom w:w="100" w:type="dxa"/>
        <w:right w:w="115" w:type="dxa"/>
      </w:tblCellMar>
    </w:tblPr>
  </w:style>
  <w:style w:type="table" w:customStyle="1" w:styleId="afffffff1">
    <w:basedOn w:val="TableNormal"/>
    <w:tblPr>
      <w:tblStyleRowBandSize w:val="1"/>
      <w:tblStyleColBandSize w:val="1"/>
      <w:tblCellMar>
        <w:top w:w="100" w:type="dxa"/>
        <w:left w:w="115" w:type="dxa"/>
        <w:bottom w:w="100" w:type="dxa"/>
        <w:right w:w="115" w:type="dxa"/>
      </w:tblCellMar>
    </w:tblPr>
  </w:style>
  <w:style w:type="table" w:customStyle="1" w:styleId="afffffff2">
    <w:basedOn w:val="TableNormal"/>
    <w:tblPr>
      <w:tblStyleRowBandSize w:val="1"/>
      <w:tblStyleColBandSize w:val="1"/>
      <w:tblCellMar>
        <w:top w:w="100" w:type="dxa"/>
        <w:left w:w="115" w:type="dxa"/>
        <w:bottom w:w="100" w:type="dxa"/>
        <w:right w:w="115" w:type="dxa"/>
      </w:tblCellMar>
    </w:tblPr>
  </w:style>
  <w:style w:type="table" w:customStyle="1" w:styleId="afffffff3">
    <w:basedOn w:val="TableNormal"/>
    <w:tblPr>
      <w:tblStyleRowBandSize w:val="1"/>
      <w:tblStyleColBandSize w:val="1"/>
      <w:tblCellMar>
        <w:top w:w="100" w:type="dxa"/>
        <w:left w:w="115" w:type="dxa"/>
        <w:bottom w:w="100" w:type="dxa"/>
        <w:right w:w="115"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15" w:type="dxa"/>
        <w:bottom w:w="100" w:type="dxa"/>
        <w:right w:w="115" w:type="dxa"/>
      </w:tblCellMar>
    </w:tblPr>
  </w:style>
  <w:style w:type="table" w:customStyle="1" w:styleId="afffffff6">
    <w:basedOn w:val="TableNormal"/>
    <w:tblPr>
      <w:tblStyleRowBandSize w:val="1"/>
      <w:tblStyleColBandSize w:val="1"/>
      <w:tblCellMar>
        <w:top w:w="100" w:type="dxa"/>
        <w:left w:w="115" w:type="dxa"/>
        <w:bottom w:w="100" w:type="dxa"/>
        <w:right w:w="115" w:type="dxa"/>
      </w:tblCellMar>
    </w:tblPr>
  </w:style>
  <w:style w:type="table" w:customStyle="1" w:styleId="afffffff7">
    <w:basedOn w:val="TableNormal"/>
    <w:tblPr>
      <w:tblStyleRowBandSize w:val="1"/>
      <w:tblStyleColBandSize w:val="1"/>
      <w:tblCellMar>
        <w:top w:w="100" w:type="dxa"/>
        <w:left w:w="115" w:type="dxa"/>
        <w:bottom w:w="100" w:type="dxa"/>
        <w:right w:w="115" w:type="dxa"/>
      </w:tblCellMar>
    </w:tblPr>
  </w:style>
  <w:style w:type="table" w:customStyle="1" w:styleId="afffffff8">
    <w:basedOn w:val="TableNormal"/>
    <w:tblPr>
      <w:tblStyleRowBandSize w:val="1"/>
      <w:tblStyleColBandSize w:val="1"/>
      <w:tblCellMar>
        <w:top w:w="100" w:type="dxa"/>
        <w:left w:w="115" w:type="dxa"/>
        <w:bottom w:w="100" w:type="dxa"/>
        <w:right w:w="115" w:type="dxa"/>
      </w:tblCellMar>
    </w:tblPr>
  </w:style>
  <w:style w:type="table" w:customStyle="1" w:styleId="afffffff9">
    <w:basedOn w:val="TableNormal"/>
    <w:tblPr>
      <w:tblStyleRowBandSize w:val="1"/>
      <w:tblStyleColBandSize w:val="1"/>
      <w:tblCellMar>
        <w:top w:w="100" w:type="dxa"/>
        <w:left w:w="115" w:type="dxa"/>
        <w:bottom w:w="100" w:type="dxa"/>
        <w:right w:w="115" w:type="dxa"/>
      </w:tblCellMar>
    </w:tblPr>
  </w:style>
  <w:style w:type="table" w:customStyle="1" w:styleId="afffffffa">
    <w:basedOn w:val="TableNormal"/>
    <w:tblPr>
      <w:tblStyleRowBandSize w:val="1"/>
      <w:tblStyleColBandSize w:val="1"/>
      <w:tblCellMar>
        <w:top w:w="100" w:type="dxa"/>
        <w:left w:w="115" w:type="dxa"/>
        <w:bottom w:w="100" w:type="dxa"/>
        <w:right w:w="115" w:type="dxa"/>
      </w:tblCellMar>
    </w:tblPr>
  </w:style>
  <w:style w:type="table" w:customStyle="1" w:styleId="afffffffb">
    <w:basedOn w:val="TableNormal"/>
    <w:tblPr>
      <w:tblStyleRowBandSize w:val="1"/>
      <w:tblStyleColBandSize w:val="1"/>
      <w:tblCellMar>
        <w:top w:w="100" w:type="dxa"/>
        <w:left w:w="115" w:type="dxa"/>
        <w:bottom w:w="100" w:type="dxa"/>
        <w:right w:w="115" w:type="dxa"/>
      </w:tblCellMar>
    </w:tblPr>
  </w:style>
  <w:style w:type="paragraph" w:styleId="CommentSubject">
    <w:name w:val="annotation subject"/>
    <w:basedOn w:val="CommentText"/>
    <w:next w:val="CommentText"/>
    <w:link w:val="CommentSubjectChar"/>
    <w:uiPriority w:val="99"/>
    <w:semiHidden/>
    <w:unhideWhenUsed/>
    <w:rsid w:val="00100950"/>
    <w:rPr>
      <w:b/>
      <w:bCs/>
    </w:rPr>
  </w:style>
  <w:style w:type="character" w:customStyle="1" w:styleId="CommentSubjectChar">
    <w:name w:val="Comment Subject Char"/>
    <w:basedOn w:val="CommentTextChar"/>
    <w:link w:val="CommentSubject"/>
    <w:uiPriority w:val="99"/>
    <w:semiHidden/>
    <w:rsid w:val="00100950"/>
    <w:rPr>
      <w:rFonts w:ascii="Arial" w:eastAsia="Arial" w:hAnsi="Arial" w:cs="Arial"/>
      <w:b/>
      <w:bCs/>
      <w:sz w:val="20"/>
      <w:szCs w:val="20"/>
      <w:lang w:val="en"/>
    </w:rPr>
  </w:style>
  <w:style w:type="table" w:customStyle="1" w:styleId="afffffffc">
    <w:basedOn w:val="TableNormal"/>
    <w:tblPr>
      <w:tblStyleRowBandSize w:val="1"/>
      <w:tblStyleColBandSize w:val="1"/>
      <w:tblCellMar>
        <w:top w:w="100" w:type="dxa"/>
        <w:left w:w="115" w:type="dxa"/>
        <w:bottom w:w="100" w:type="dxa"/>
        <w:right w:w="115" w:type="dxa"/>
      </w:tblCellMar>
    </w:tblPr>
  </w:style>
  <w:style w:type="table" w:customStyle="1" w:styleId="afffffffd">
    <w:basedOn w:val="TableNormal"/>
    <w:tblPr>
      <w:tblStyleRowBandSize w:val="1"/>
      <w:tblStyleColBandSize w:val="1"/>
      <w:tblCellMar>
        <w:top w:w="100" w:type="dxa"/>
        <w:left w:w="115" w:type="dxa"/>
        <w:bottom w:w="100" w:type="dxa"/>
        <w:right w:w="115" w:type="dxa"/>
      </w:tblCellMar>
    </w:tblPr>
  </w:style>
  <w:style w:type="table" w:customStyle="1" w:styleId="afffffffe">
    <w:basedOn w:val="TableNormal"/>
    <w:tblPr>
      <w:tblStyleRowBandSize w:val="1"/>
      <w:tblStyleColBandSize w:val="1"/>
      <w:tblCellMar>
        <w:top w:w="100" w:type="dxa"/>
        <w:left w:w="115" w:type="dxa"/>
        <w:bottom w:w="100" w:type="dxa"/>
        <w:right w:w="115" w:type="dxa"/>
      </w:tblCellMar>
    </w:tblPr>
  </w:style>
  <w:style w:type="table" w:customStyle="1" w:styleId="affffffff">
    <w:basedOn w:val="TableNormal"/>
    <w:tblPr>
      <w:tblStyleRowBandSize w:val="1"/>
      <w:tblStyleColBandSize w:val="1"/>
      <w:tblCellMar>
        <w:top w:w="100" w:type="dxa"/>
        <w:left w:w="115" w:type="dxa"/>
        <w:bottom w:w="100" w:type="dxa"/>
        <w:right w:w="115" w:type="dxa"/>
      </w:tblCellMar>
    </w:tblPr>
  </w:style>
  <w:style w:type="table" w:customStyle="1" w:styleId="affffffff0">
    <w:basedOn w:val="TableNormal"/>
    <w:tblPr>
      <w:tblStyleRowBandSize w:val="1"/>
      <w:tblStyleColBandSize w:val="1"/>
      <w:tblCellMar>
        <w:top w:w="100" w:type="dxa"/>
        <w:left w:w="115" w:type="dxa"/>
        <w:bottom w:w="100" w:type="dxa"/>
        <w:right w:w="115" w:type="dxa"/>
      </w:tblCellMar>
    </w:tblPr>
  </w:style>
  <w:style w:type="table" w:customStyle="1" w:styleId="affffffff1">
    <w:basedOn w:val="TableNormal"/>
    <w:tblPr>
      <w:tblStyleRowBandSize w:val="1"/>
      <w:tblStyleColBandSize w:val="1"/>
      <w:tblCellMar>
        <w:top w:w="100" w:type="dxa"/>
        <w:left w:w="115" w:type="dxa"/>
        <w:bottom w:w="100" w:type="dxa"/>
        <w:right w:w="115" w:type="dxa"/>
      </w:tblCellMar>
    </w:tblPr>
  </w:style>
  <w:style w:type="table" w:customStyle="1" w:styleId="affffffff2">
    <w:basedOn w:val="TableNormal"/>
    <w:tblPr>
      <w:tblStyleRowBandSize w:val="1"/>
      <w:tblStyleColBandSize w:val="1"/>
      <w:tblCellMar>
        <w:top w:w="100" w:type="dxa"/>
        <w:left w:w="115" w:type="dxa"/>
        <w:bottom w:w="100" w:type="dxa"/>
        <w:right w:w="115" w:type="dxa"/>
      </w:tblCellMar>
    </w:tblPr>
  </w:style>
  <w:style w:type="table" w:customStyle="1" w:styleId="affffffff3">
    <w:basedOn w:val="TableNormal"/>
    <w:tblPr>
      <w:tblStyleRowBandSize w:val="1"/>
      <w:tblStyleColBandSize w:val="1"/>
      <w:tblCellMar>
        <w:top w:w="100" w:type="dxa"/>
        <w:left w:w="115" w:type="dxa"/>
        <w:bottom w:w="100" w:type="dxa"/>
        <w:right w:w="115" w:type="dxa"/>
      </w:tblCellMar>
    </w:tblPr>
  </w:style>
  <w:style w:type="table" w:customStyle="1" w:styleId="affffffff4">
    <w:basedOn w:val="TableNormal"/>
    <w:tblPr>
      <w:tblStyleRowBandSize w:val="1"/>
      <w:tblStyleColBandSize w:val="1"/>
      <w:tblCellMar>
        <w:top w:w="100" w:type="dxa"/>
        <w:left w:w="115" w:type="dxa"/>
        <w:bottom w:w="100" w:type="dxa"/>
        <w:right w:w="115" w:type="dxa"/>
      </w:tblCellMar>
    </w:tblPr>
  </w:style>
  <w:style w:type="table" w:customStyle="1" w:styleId="affffffff5">
    <w:basedOn w:val="TableNormal"/>
    <w:tblPr>
      <w:tblStyleRowBandSize w:val="1"/>
      <w:tblStyleColBandSize w:val="1"/>
      <w:tblCellMar>
        <w:top w:w="100" w:type="dxa"/>
        <w:left w:w="115" w:type="dxa"/>
        <w:bottom w:w="100" w:type="dxa"/>
        <w:right w:w="115" w:type="dxa"/>
      </w:tblCellMar>
    </w:tblPr>
  </w:style>
  <w:style w:type="table" w:customStyle="1" w:styleId="affffffff6">
    <w:basedOn w:val="TableNormal"/>
    <w:tblPr>
      <w:tblStyleRowBandSize w:val="1"/>
      <w:tblStyleColBandSize w:val="1"/>
      <w:tblCellMar>
        <w:top w:w="100" w:type="dxa"/>
        <w:left w:w="115" w:type="dxa"/>
        <w:bottom w:w="100" w:type="dxa"/>
        <w:right w:w="115" w:type="dxa"/>
      </w:tblCellMar>
    </w:tblPr>
  </w:style>
  <w:style w:type="table" w:customStyle="1" w:styleId="affffffff7">
    <w:basedOn w:val="TableNormal"/>
    <w:tblPr>
      <w:tblStyleRowBandSize w:val="1"/>
      <w:tblStyleColBandSize w:val="1"/>
      <w:tblCellMar>
        <w:top w:w="100" w:type="dxa"/>
        <w:left w:w="115" w:type="dxa"/>
        <w:bottom w:w="100" w:type="dxa"/>
        <w:right w:w="115" w:type="dxa"/>
      </w:tblCellMar>
    </w:tblPr>
  </w:style>
  <w:style w:type="table" w:customStyle="1" w:styleId="affffffff8">
    <w:basedOn w:val="TableNormal"/>
    <w:tblPr>
      <w:tblStyleRowBandSize w:val="1"/>
      <w:tblStyleColBandSize w:val="1"/>
      <w:tblCellMar>
        <w:top w:w="100" w:type="dxa"/>
        <w:left w:w="115" w:type="dxa"/>
        <w:bottom w:w="100" w:type="dxa"/>
        <w:right w:w="115" w:type="dxa"/>
      </w:tblCellMar>
    </w:tblPr>
  </w:style>
  <w:style w:type="table" w:customStyle="1" w:styleId="affffffff9">
    <w:basedOn w:val="TableNormal"/>
    <w:tblPr>
      <w:tblStyleRowBandSize w:val="1"/>
      <w:tblStyleColBandSize w:val="1"/>
      <w:tblCellMar>
        <w:top w:w="100" w:type="dxa"/>
        <w:left w:w="115" w:type="dxa"/>
        <w:bottom w:w="100" w:type="dxa"/>
        <w:right w:w="115" w:type="dxa"/>
      </w:tblCellMar>
    </w:tblPr>
  </w:style>
  <w:style w:type="table" w:customStyle="1" w:styleId="affffffffa">
    <w:basedOn w:val="TableNormal"/>
    <w:tblPr>
      <w:tblStyleRowBandSize w:val="1"/>
      <w:tblStyleColBandSize w:val="1"/>
      <w:tblCellMar>
        <w:top w:w="100" w:type="dxa"/>
        <w:left w:w="115" w:type="dxa"/>
        <w:bottom w:w="100" w:type="dxa"/>
        <w:right w:w="115" w:type="dxa"/>
      </w:tblCellMar>
    </w:tblPr>
  </w:style>
  <w:style w:type="table" w:customStyle="1" w:styleId="affffffffb">
    <w:basedOn w:val="TableNormal"/>
    <w:tblPr>
      <w:tblStyleRowBandSize w:val="1"/>
      <w:tblStyleColBandSize w:val="1"/>
      <w:tblCellMar>
        <w:top w:w="100" w:type="dxa"/>
        <w:left w:w="115" w:type="dxa"/>
        <w:bottom w:w="100" w:type="dxa"/>
        <w:right w:w="115" w:type="dxa"/>
      </w:tblCellMar>
    </w:tblPr>
  </w:style>
  <w:style w:type="table" w:customStyle="1" w:styleId="affffffffc">
    <w:basedOn w:val="TableNormal"/>
    <w:tblPr>
      <w:tblStyleRowBandSize w:val="1"/>
      <w:tblStyleColBandSize w:val="1"/>
      <w:tblCellMar>
        <w:top w:w="100" w:type="dxa"/>
        <w:left w:w="115" w:type="dxa"/>
        <w:bottom w:w="100" w:type="dxa"/>
        <w:right w:w="115" w:type="dxa"/>
      </w:tblCellMar>
    </w:tblPr>
  </w:style>
  <w:style w:type="table" w:customStyle="1" w:styleId="affffffffd">
    <w:basedOn w:val="TableNormal"/>
    <w:tblPr>
      <w:tblStyleRowBandSize w:val="1"/>
      <w:tblStyleColBandSize w:val="1"/>
      <w:tblCellMar>
        <w:top w:w="100" w:type="dxa"/>
        <w:left w:w="115" w:type="dxa"/>
        <w:bottom w:w="100" w:type="dxa"/>
        <w:right w:w="115" w:type="dxa"/>
      </w:tblCellMar>
    </w:tblPr>
  </w:style>
  <w:style w:type="table" w:customStyle="1" w:styleId="affffffffe">
    <w:basedOn w:val="TableNormal"/>
    <w:tblPr>
      <w:tblStyleRowBandSize w:val="1"/>
      <w:tblStyleColBandSize w:val="1"/>
      <w:tblCellMar>
        <w:top w:w="100" w:type="dxa"/>
        <w:left w:w="115" w:type="dxa"/>
        <w:bottom w:w="100" w:type="dxa"/>
        <w:right w:w="115" w:type="dxa"/>
      </w:tblCellMar>
    </w:tblPr>
  </w:style>
  <w:style w:type="table" w:customStyle="1" w:styleId="afffffffff">
    <w:basedOn w:val="TableNormal"/>
    <w:tblPr>
      <w:tblStyleRowBandSize w:val="1"/>
      <w:tblStyleColBandSize w:val="1"/>
      <w:tblCellMar>
        <w:top w:w="100" w:type="dxa"/>
        <w:left w:w="115" w:type="dxa"/>
        <w:bottom w:w="100" w:type="dxa"/>
        <w:right w:w="115" w:type="dxa"/>
      </w:tblCellMar>
    </w:tblPr>
  </w:style>
  <w:style w:type="table" w:customStyle="1" w:styleId="afffffffff0">
    <w:basedOn w:val="TableNormal"/>
    <w:tblPr>
      <w:tblStyleRowBandSize w:val="1"/>
      <w:tblStyleColBandSize w:val="1"/>
      <w:tblCellMar>
        <w:top w:w="100" w:type="dxa"/>
        <w:left w:w="115" w:type="dxa"/>
        <w:bottom w:w="100" w:type="dxa"/>
        <w:right w:w="115" w:type="dxa"/>
      </w:tblCellMar>
    </w:tblPr>
  </w:style>
  <w:style w:type="table" w:customStyle="1" w:styleId="afffffffff1">
    <w:basedOn w:val="TableNormal"/>
    <w:tblPr>
      <w:tblStyleRowBandSize w:val="1"/>
      <w:tblStyleColBandSize w:val="1"/>
      <w:tblCellMar>
        <w:top w:w="100" w:type="dxa"/>
        <w:left w:w="115" w:type="dxa"/>
        <w:bottom w:w="100" w:type="dxa"/>
        <w:right w:w="115" w:type="dxa"/>
      </w:tblCellMar>
    </w:tblPr>
  </w:style>
  <w:style w:type="table" w:customStyle="1" w:styleId="afffffffff2">
    <w:basedOn w:val="TableNormal"/>
    <w:tblPr>
      <w:tblStyleRowBandSize w:val="1"/>
      <w:tblStyleColBandSize w:val="1"/>
      <w:tblCellMar>
        <w:top w:w="100" w:type="dxa"/>
        <w:left w:w="115" w:type="dxa"/>
        <w:bottom w:w="100" w:type="dxa"/>
        <w:right w:w="115" w:type="dxa"/>
      </w:tblCellMar>
    </w:tblPr>
  </w:style>
  <w:style w:type="table" w:customStyle="1" w:styleId="afffffffff3">
    <w:basedOn w:val="TableNormal"/>
    <w:tblPr>
      <w:tblStyleRowBandSize w:val="1"/>
      <w:tblStyleColBandSize w:val="1"/>
      <w:tblCellMar>
        <w:top w:w="100" w:type="dxa"/>
        <w:left w:w="115" w:type="dxa"/>
        <w:bottom w:w="100" w:type="dxa"/>
        <w:right w:w="115" w:type="dxa"/>
      </w:tblCellMar>
    </w:tblPr>
  </w:style>
  <w:style w:type="table" w:customStyle="1" w:styleId="afffffffff4">
    <w:basedOn w:val="TableNormal"/>
    <w:tblPr>
      <w:tblStyleRowBandSize w:val="1"/>
      <w:tblStyleColBandSize w:val="1"/>
      <w:tblCellMar>
        <w:top w:w="100" w:type="dxa"/>
        <w:left w:w="115" w:type="dxa"/>
        <w:bottom w:w="100" w:type="dxa"/>
        <w:right w:w="115" w:type="dxa"/>
      </w:tblCellMar>
    </w:tblPr>
  </w:style>
  <w:style w:type="table" w:customStyle="1" w:styleId="afffffffff5">
    <w:basedOn w:val="TableNormal"/>
    <w:tblPr>
      <w:tblStyleRowBandSize w:val="1"/>
      <w:tblStyleColBandSize w:val="1"/>
      <w:tblCellMar>
        <w:top w:w="100" w:type="dxa"/>
        <w:left w:w="115" w:type="dxa"/>
        <w:bottom w:w="100" w:type="dxa"/>
        <w:right w:w="115" w:type="dxa"/>
      </w:tblCellMar>
    </w:tblPr>
  </w:style>
  <w:style w:type="table" w:customStyle="1" w:styleId="afffffffff6">
    <w:basedOn w:val="TableNormal"/>
    <w:tblPr>
      <w:tblStyleRowBandSize w:val="1"/>
      <w:tblStyleColBandSize w:val="1"/>
      <w:tblCellMar>
        <w:top w:w="100" w:type="dxa"/>
        <w:left w:w="115" w:type="dxa"/>
        <w:bottom w:w="100" w:type="dxa"/>
        <w:right w:w="115" w:type="dxa"/>
      </w:tblCellMar>
    </w:tblPr>
  </w:style>
  <w:style w:type="table" w:customStyle="1" w:styleId="afffffffff7">
    <w:basedOn w:val="TableNormal"/>
    <w:tblPr>
      <w:tblStyleRowBandSize w:val="1"/>
      <w:tblStyleColBandSize w:val="1"/>
      <w:tblCellMar>
        <w:top w:w="100" w:type="dxa"/>
        <w:left w:w="115" w:type="dxa"/>
        <w:bottom w:w="100" w:type="dxa"/>
        <w:right w:w="115" w:type="dxa"/>
      </w:tblCellMar>
    </w:tblPr>
  </w:style>
  <w:style w:type="table" w:customStyle="1" w:styleId="afffffffff8">
    <w:basedOn w:val="TableNormal"/>
    <w:tblPr>
      <w:tblStyleRowBandSize w:val="1"/>
      <w:tblStyleColBandSize w:val="1"/>
      <w:tblCellMar>
        <w:top w:w="100" w:type="dxa"/>
        <w:left w:w="115" w:type="dxa"/>
        <w:bottom w:w="100" w:type="dxa"/>
        <w:right w:w="115" w:type="dxa"/>
      </w:tblCellMar>
    </w:tblPr>
  </w:style>
  <w:style w:type="table" w:customStyle="1" w:styleId="afffffffff9">
    <w:basedOn w:val="TableNormal"/>
    <w:tblPr>
      <w:tblStyleRowBandSize w:val="1"/>
      <w:tblStyleColBandSize w:val="1"/>
      <w:tblCellMar>
        <w:top w:w="100" w:type="dxa"/>
        <w:left w:w="115" w:type="dxa"/>
        <w:bottom w:w="100" w:type="dxa"/>
        <w:right w:w="115" w:type="dxa"/>
      </w:tblCellMar>
    </w:tblPr>
  </w:style>
  <w:style w:type="table" w:customStyle="1" w:styleId="afffffffffa">
    <w:basedOn w:val="TableNormal"/>
    <w:tblPr>
      <w:tblStyleRowBandSize w:val="1"/>
      <w:tblStyleColBandSize w:val="1"/>
      <w:tblCellMar>
        <w:top w:w="100" w:type="dxa"/>
        <w:left w:w="115" w:type="dxa"/>
        <w:bottom w:w="100" w:type="dxa"/>
        <w:right w:w="115" w:type="dxa"/>
      </w:tblCellMar>
    </w:tblPr>
  </w:style>
  <w:style w:type="table" w:customStyle="1" w:styleId="afffffffffb">
    <w:basedOn w:val="TableNormal"/>
    <w:tblPr>
      <w:tblStyleRowBandSize w:val="1"/>
      <w:tblStyleColBandSize w:val="1"/>
      <w:tblCellMar>
        <w:top w:w="100" w:type="dxa"/>
        <w:left w:w="115" w:type="dxa"/>
        <w:bottom w:w="100" w:type="dxa"/>
        <w:right w:w="115" w:type="dxa"/>
      </w:tblCellMar>
    </w:tblPr>
  </w:style>
  <w:style w:type="table" w:customStyle="1" w:styleId="afffffffffc">
    <w:basedOn w:val="TableNormal"/>
    <w:tblPr>
      <w:tblStyleRowBandSize w:val="1"/>
      <w:tblStyleColBandSize w:val="1"/>
      <w:tblCellMar>
        <w:top w:w="100" w:type="dxa"/>
        <w:left w:w="115" w:type="dxa"/>
        <w:bottom w:w="100" w:type="dxa"/>
        <w:right w:w="115" w:type="dxa"/>
      </w:tblCellMar>
    </w:tblPr>
  </w:style>
  <w:style w:type="table" w:customStyle="1" w:styleId="afffffffffd">
    <w:basedOn w:val="TableNormal"/>
    <w:tblPr>
      <w:tblStyleRowBandSize w:val="1"/>
      <w:tblStyleColBandSize w:val="1"/>
      <w:tblCellMar>
        <w:top w:w="100" w:type="dxa"/>
        <w:left w:w="115" w:type="dxa"/>
        <w:bottom w:w="100" w:type="dxa"/>
        <w:right w:w="115" w:type="dxa"/>
      </w:tblCellMar>
    </w:tblPr>
  </w:style>
  <w:style w:type="table" w:customStyle="1" w:styleId="afffffffffe">
    <w:basedOn w:val="TableNormal"/>
    <w:tblPr>
      <w:tblStyleRowBandSize w:val="1"/>
      <w:tblStyleColBandSize w:val="1"/>
      <w:tblCellMar>
        <w:top w:w="100" w:type="dxa"/>
        <w:left w:w="115" w:type="dxa"/>
        <w:bottom w:w="100" w:type="dxa"/>
        <w:right w:w="115" w:type="dxa"/>
      </w:tblCellMar>
    </w:tblPr>
  </w:style>
  <w:style w:type="table" w:customStyle="1" w:styleId="affffffffff">
    <w:basedOn w:val="TableNormal"/>
    <w:tblPr>
      <w:tblStyleRowBandSize w:val="1"/>
      <w:tblStyleColBandSize w:val="1"/>
      <w:tblCellMar>
        <w:top w:w="100" w:type="dxa"/>
        <w:left w:w="115" w:type="dxa"/>
        <w:bottom w:w="100" w:type="dxa"/>
        <w:right w:w="115" w:type="dxa"/>
      </w:tblCellMar>
    </w:tblPr>
  </w:style>
  <w:style w:type="table" w:customStyle="1" w:styleId="affffffffff0">
    <w:basedOn w:val="TableNormal"/>
    <w:tblPr>
      <w:tblStyleRowBandSize w:val="1"/>
      <w:tblStyleColBandSize w:val="1"/>
      <w:tblCellMar>
        <w:top w:w="100" w:type="dxa"/>
        <w:left w:w="115" w:type="dxa"/>
        <w:bottom w:w="100" w:type="dxa"/>
        <w:right w:w="115" w:type="dxa"/>
      </w:tblCellMar>
    </w:tblPr>
  </w:style>
  <w:style w:type="table" w:customStyle="1" w:styleId="affffffffff1">
    <w:basedOn w:val="TableNormal"/>
    <w:tblPr>
      <w:tblStyleRowBandSize w:val="1"/>
      <w:tblStyleColBandSize w:val="1"/>
      <w:tblCellMar>
        <w:top w:w="100" w:type="dxa"/>
        <w:left w:w="115" w:type="dxa"/>
        <w:bottom w:w="100" w:type="dxa"/>
        <w:right w:w="115" w:type="dxa"/>
      </w:tblCellMar>
    </w:tblPr>
  </w:style>
  <w:style w:type="table" w:customStyle="1" w:styleId="affffffffff2">
    <w:basedOn w:val="TableNormal"/>
    <w:tblPr>
      <w:tblStyleRowBandSize w:val="1"/>
      <w:tblStyleColBandSize w:val="1"/>
      <w:tblCellMar>
        <w:top w:w="100" w:type="dxa"/>
        <w:left w:w="115" w:type="dxa"/>
        <w:bottom w:w="100" w:type="dxa"/>
        <w:right w:w="115" w:type="dxa"/>
      </w:tblCellMar>
    </w:tblPr>
  </w:style>
  <w:style w:type="table" w:customStyle="1" w:styleId="affffffffff3">
    <w:basedOn w:val="TableNormal"/>
    <w:tblPr>
      <w:tblStyleRowBandSize w:val="1"/>
      <w:tblStyleColBandSize w:val="1"/>
      <w:tblCellMar>
        <w:top w:w="100" w:type="dxa"/>
        <w:left w:w="115" w:type="dxa"/>
        <w:bottom w:w="100" w:type="dxa"/>
        <w:right w:w="115" w:type="dxa"/>
      </w:tblCellMar>
    </w:tblPr>
  </w:style>
  <w:style w:type="table" w:customStyle="1" w:styleId="affffffffff4">
    <w:basedOn w:val="TableNormal"/>
    <w:tblPr>
      <w:tblStyleRowBandSize w:val="1"/>
      <w:tblStyleColBandSize w:val="1"/>
      <w:tblCellMar>
        <w:top w:w="100" w:type="dxa"/>
        <w:left w:w="115" w:type="dxa"/>
        <w:bottom w:w="100" w:type="dxa"/>
        <w:right w:w="115" w:type="dxa"/>
      </w:tblCellMar>
    </w:tblPr>
  </w:style>
  <w:style w:type="table" w:customStyle="1" w:styleId="affffffffff5">
    <w:basedOn w:val="TableNormal"/>
    <w:tblPr>
      <w:tblStyleRowBandSize w:val="1"/>
      <w:tblStyleColBandSize w:val="1"/>
      <w:tblCellMar>
        <w:top w:w="100" w:type="dxa"/>
        <w:left w:w="115" w:type="dxa"/>
        <w:bottom w:w="100" w:type="dxa"/>
        <w:right w:w="115" w:type="dxa"/>
      </w:tblCellMar>
    </w:tblPr>
  </w:style>
  <w:style w:type="table" w:customStyle="1" w:styleId="affffffffff6">
    <w:basedOn w:val="TableNormal"/>
    <w:tblPr>
      <w:tblStyleRowBandSize w:val="1"/>
      <w:tblStyleColBandSize w:val="1"/>
      <w:tblCellMar>
        <w:top w:w="100" w:type="dxa"/>
        <w:left w:w="115" w:type="dxa"/>
        <w:bottom w:w="100" w:type="dxa"/>
        <w:right w:w="115" w:type="dxa"/>
      </w:tblCellMar>
    </w:tblPr>
  </w:style>
  <w:style w:type="table" w:customStyle="1" w:styleId="affffffffff7">
    <w:basedOn w:val="TableNormal"/>
    <w:tblPr>
      <w:tblStyleRowBandSize w:val="1"/>
      <w:tblStyleColBandSize w:val="1"/>
      <w:tblCellMar>
        <w:top w:w="100" w:type="dxa"/>
        <w:left w:w="115" w:type="dxa"/>
        <w:bottom w:w="100" w:type="dxa"/>
        <w:right w:w="115" w:type="dxa"/>
      </w:tblCellMar>
    </w:tblPr>
  </w:style>
  <w:style w:type="table" w:customStyle="1" w:styleId="affffffffff8">
    <w:basedOn w:val="TableNormal"/>
    <w:tblPr>
      <w:tblStyleRowBandSize w:val="1"/>
      <w:tblStyleColBandSize w:val="1"/>
      <w:tblCellMar>
        <w:top w:w="100" w:type="dxa"/>
        <w:left w:w="115" w:type="dxa"/>
        <w:bottom w:w="100" w:type="dxa"/>
        <w:right w:w="115" w:type="dxa"/>
      </w:tblCellMar>
    </w:tblPr>
  </w:style>
  <w:style w:type="table" w:customStyle="1" w:styleId="affffffffff9">
    <w:basedOn w:val="TableNormal"/>
    <w:tblPr>
      <w:tblStyleRowBandSize w:val="1"/>
      <w:tblStyleColBandSize w:val="1"/>
      <w:tblCellMar>
        <w:top w:w="100" w:type="dxa"/>
        <w:left w:w="115" w:type="dxa"/>
        <w:bottom w:w="100" w:type="dxa"/>
        <w:right w:w="115" w:type="dxa"/>
      </w:tblCellMar>
    </w:tblPr>
  </w:style>
  <w:style w:type="table" w:customStyle="1" w:styleId="affffffffffa">
    <w:basedOn w:val="TableNormal"/>
    <w:tblPr>
      <w:tblStyleRowBandSize w:val="1"/>
      <w:tblStyleColBandSize w:val="1"/>
      <w:tblCellMar>
        <w:top w:w="100" w:type="dxa"/>
        <w:left w:w="115" w:type="dxa"/>
        <w:bottom w:w="100" w:type="dxa"/>
        <w:right w:w="115" w:type="dxa"/>
      </w:tblCellMar>
    </w:tblPr>
  </w:style>
  <w:style w:type="table" w:customStyle="1" w:styleId="affffffffffb">
    <w:basedOn w:val="TableNormal"/>
    <w:tblPr>
      <w:tblStyleRowBandSize w:val="1"/>
      <w:tblStyleColBandSize w:val="1"/>
      <w:tblCellMar>
        <w:top w:w="100" w:type="dxa"/>
        <w:left w:w="115" w:type="dxa"/>
        <w:bottom w:w="100" w:type="dxa"/>
        <w:right w:w="115" w:type="dxa"/>
      </w:tblCellMar>
    </w:tblPr>
  </w:style>
  <w:style w:type="table" w:customStyle="1" w:styleId="affffffffffc">
    <w:basedOn w:val="TableNormal"/>
    <w:tblPr>
      <w:tblStyleRowBandSize w:val="1"/>
      <w:tblStyleColBandSize w:val="1"/>
      <w:tblCellMar>
        <w:top w:w="100" w:type="dxa"/>
        <w:left w:w="115" w:type="dxa"/>
        <w:bottom w:w="100" w:type="dxa"/>
        <w:right w:w="115" w:type="dxa"/>
      </w:tblCellMar>
    </w:tblPr>
  </w:style>
  <w:style w:type="table" w:customStyle="1" w:styleId="affffffffffd">
    <w:basedOn w:val="TableNormal"/>
    <w:tblPr>
      <w:tblStyleRowBandSize w:val="1"/>
      <w:tblStyleColBandSize w:val="1"/>
      <w:tblCellMar>
        <w:top w:w="100" w:type="dxa"/>
        <w:left w:w="115" w:type="dxa"/>
        <w:bottom w:w="100" w:type="dxa"/>
        <w:right w:w="115" w:type="dxa"/>
      </w:tblCellMar>
    </w:tblPr>
  </w:style>
  <w:style w:type="table" w:customStyle="1" w:styleId="affffffffffe">
    <w:basedOn w:val="TableNormal"/>
    <w:tblPr>
      <w:tblStyleRowBandSize w:val="1"/>
      <w:tblStyleColBandSize w:val="1"/>
      <w:tblCellMar>
        <w:top w:w="100" w:type="dxa"/>
        <w:left w:w="115" w:type="dxa"/>
        <w:bottom w:w="100" w:type="dxa"/>
        <w:right w:w="115" w:type="dxa"/>
      </w:tblCellMar>
    </w:tblPr>
  </w:style>
  <w:style w:type="table" w:customStyle="1" w:styleId="afffffffffff">
    <w:basedOn w:val="TableNormal"/>
    <w:tblPr>
      <w:tblStyleRowBandSize w:val="1"/>
      <w:tblStyleColBandSize w:val="1"/>
      <w:tblCellMar>
        <w:top w:w="100" w:type="dxa"/>
        <w:left w:w="115" w:type="dxa"/>
        <w:bottom w:w="100" w:type="dxa"/>
        <w:right w:w="115" w:type="dxa"/>
      </w:tblCellMar>
    </w:tblPr>
  </w:style>
  <w:style w:type="table" w:customStyle="1" w:styleId="afffffffffff0">
    <w:basedOn w:val="TableNormal"/>
    <w:tblPr>
      <w:tblStyleRowBandSize w:val="1"/>
      <w:tblStyleColBandSize w:val="1"/>
      <w:tblCellMar>
        <w:top w:w="100" w:type="dxa"/>
        <w:left w:w="115" w:type="dxa"/>
        <w:bottom w:w="100" w:type="dxa"/>
        <w:right w:w="115" w:type="dxa"/>
      </w:tblCellMar>
    </w:tblPr>
  </w:style>
  <w:style w:type="table" w:customStyle="1" w:styleId="afffffffffff1">
    <w:basedOn w:val="TableNormal"/>
    <w:tblPr>
      <w:tblStyleRowBandSize w:val="1"/>
      <w:tblStyleColBandSize w:val="1"/>
      <w:tblCellMar>
        <w:top w:w="100" w:type="dxa"/>
        <w:left w:w="115" w:type="dxa"/>
        <w:bottom w:w="100" w:type="dxa"/>
        <w:right w:w="115" w:type="dxa"/>
      </w:tblCellMar>
    </w:tblPr>
  </w:style>
  <w:style w:type="table" w:customStyle="1" w:styleId="afffffffffff2">
    <w:basedOn w:val="TableNormal"/>
    <w:tblPr>
      <w:tblStyleRowBandSize w:val="1"/>
      <w:tblStyleColBandSize w:val="1"/>
      <w:tblCellMar>
        <w:top w:w="100" w:type="dxa"/>
        <w:left w:w="115" w:type="dxa"/>
        <w:bottom w:w="100" w:type="dxa"/>
        <w:right w:w="115" w:type="dxa"/>
      </w:tblCellMar>
    </w:tblPr>
  </w:style>
  <w:style w:type="table" w:customStyle="1" w:styleId="afffffffffff3">
    <w:basedOn w:val="TableNormal"/>
    <w:tblPr>
      <w:tblStyleRowBandSize w:val="1"/>
      <w:tblStyleColBandSize w:val="1"/>
      <w:tblCellMar>
        <w:top w:w="100" w:type="dxa"/>
        <w:left w:w="115" w:type="dxa"/>
        <w:bottom w:w="100" w:type="dxa"/>
        <w:right w:w="115" w:type="dxa"/>
      </w:tblCellMar>
    </w:tblPr>
  </w:style>
  <w:style w:type="table" w:customStyle="1" w:styleId="afffffffffff4">
    <w:basedOn w:val="TableNormal"/>
    <w:tblPr>
      <w:tblStyleRowBandSize w:val="1"/>
      <w:tblStyleColBandSize w:val="1"/>
      <w:tblCellMar>
        <w:top w:w="100" w:type="dxa"/>
        <w:left w:w="115" w:type="dxa"/>
        <w:bottom w:w="100" w:type="dxa"/>
        <w:right w:w="115" w:type="dxa"/>
      </w:tblCellMar>
    </w:tblPr>
  </w:style>
  <w:style w:type="table" w:customStyle="1" w:styleId="afffffffffff5">
    <w:basedOn w:val="TableNormal"/>
    <w:tblPr>
      <w:tblStyleRowBandSize w:val="1"/>
      <w:tblStyleColBandSize w:val="1"/>
      <w:tblCellMar>
        <w:top w:w="100" w:type="dxa"/>
        <w:left w:w="115" w:type="dxa"/>
        <w:bottom w:w="100" w:type="dxa"/>
        <w:right w:w="115" w:type="dxa"/>
      </w:tblCellMar>
    </w:tblPr>
  </w:style>
  <w:style w:type="table" w:customStyle="1" w:styleId="afffffffffff6">
    <w:basedOn w:val="TableNormal"/>
    <w:tblPr>
      <w:tblStyleRowBandSize w:val="1"/>
      <w:tblStyleColBandSize w:val="1"/>
      <w:tblCellMar>
        <w:top w:w="100" w:type="dxa"/>
        <w:left w:w="115" w:type="dxa"/>
        <w:bottom w:w="100" w:type="dxa"/>
        <w:right w:w="115" w:type="dxa"/>
      </w:tblCellMar>
    </w:tblPr>
  </w:style>
  <w:style w:type="table" w:customStyle="1" w:styleId="afffffffffff7">
    <w:basedOn w:val="TableNormal"/>
    <w:tblPr>
      <w:tblStyleRowBandSize w:val="1"/>
      <w:tblStyleColBandSize w:val="1"/>
      <w:tblCellMar>
        <w:top w:w="100" w:type="dxa"/>
        <w:left w:w="115" w:type="dxa"/>
        <w:bottom w:w="100" w:type="dxa"/>
        <w:right w:w="115" w:type="dxa"/>
      </w:tblCellMar>
    </w:tblPr>
  </w:style>
  <w:style w:type="table" w:customStyle="1" w:styleId="afffffffffff8">
    <w:basedOn w:val="TableNormal"/>
    <w:tblPr>
      <w:tblStyleRowBandSize w:val="1"/>
      <w:tblStyleColBandSize w:val="1"/>
      <w:tblCellMar>
        <w:top w:w="100" w:type="dxa"/>
        <w:left w:w="115" w:type="dxa"/>
        <w:bottom w:w="100" w:type="dxa"/>
        <w:right w:w="115" w:type="dxa"/>
      </w:tblCellMar>
    </w:tblPr>
  </w:style>
  <w:style w:type="table" w:customStyle="1" w:styleId="afffffffffff9">
    <w:basedOn w:val="TableNormal"/>
    <w:tblPr>
      <w:tblStyleRowBandSize w:val="1"/>
      <w:tblStyleColBandSize w:val="1"/>
      <w:tblCellMar>
        <w:top w:w="100" w:type="dxa"/>
        <w:left w:w="115" w:type="dxa"/>
        <w:bottom w:w="100" w:type="dxa"/>
        <w:right w:w="115" w:type="dxa"/>
      </w:tblCellMar>
    </w:tblPr>
  </w:style>
  <w:style w:type="table" w:customStyle="1" w:styleId="afffffffffffa">
    <w:basedOn w:val="TableNormal"/>
    <w:tblPr>
      <w:tblStyleRowBandSize w:val="1"/>
      <w:tblStyleColBandSize w:val="1"/>
      <w:tblCellMar>
        <w:top w:w="100" w:type="dxa"/>
        <w:left w:w="115" w:type="dxa"/>
        <w:bottom w:w="100" w:type="dxa"/>
        <w:right w:w="115" w:type="dxa"/>
      </w:tblCellMar>
    </w:tblPr>
  </w:style>
  <w:style w:type="table" w:customStyle="1" w:styleId="afffffffffffb">
    <w:basedOn w:val="TableNormal"/>
    <w:tblPr>
      <w:tblStyleRowBandSize w:val="1"/>
      <w:tblStyleColBandSize w:val="1"/>
      <w:tblCellMar>
        <w:top w:w="100" w:type="dxa"/>
        <w:left w:w="115" w:type="dxa"/>
        <w:bottom w:w="100" w:type="dxa"/>
        <w:right w:w="115" w:type="dxa"/>
      </w:tblCellMar>
    </w:tblPr>
  </w:style>
  <w:style w:type="table" w:customStyle="1" w:styleId="afffffffffffc">
    <w:basedOn w:val="TableNormal"/>
    <w:tblPr>
      <w:tblStyleRowBandSize w:val="1"/>
      <w:tblStyleColBandSize w:val="1"/>
      <w:tblCellMar>
        <w:top w:w="100" w:type="dxa"/>
        <w:left w:w="115" w:type="dxa"/>
        <w:bottom w:w="100" w:type="dxa"/>
        <w:right w:w="115" w:type="dxa"/>
      </w:tblCellMar>
    </w:tblPr>
  </w:style>
  <w:style w:type="table" w:customStyle="1" w:styleId="afffffffffffd">
    <w:basedOn w:val="TableNormal"/>
    <w:tblPr>
      <w:tblStyleRowBandSize w:val="1"/>
      <w:tblStyleColBandSize w:val="1"/>
      <w:tblCellMar>
        <w:top w:w="100" w:type="dxa"/>
        <w:left w:w="115" w:type="dxa"/>
        <w:bottom w:w="100" w:type="dxa"/>
        <w:right w:w="115" w:type="dxa"/>
      </w:tblCellMar>
    </w:tblPr>
  </w:style>
  <w:style w:type="table" w:customStyle="1" w:styleId="afffffffffffe">
    <w:basedOn w:val="TableNormal"/>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top w:w="100" w:type="dxa"/>
        <w:left w:w="115" w:type="dxa"/>
        <w:bottom w:w="100" w:type="dxa"/>
        <w:right w:w="115" w:type="dxa"/>
      </w:tblCellMar>
    </w:tblPr>
  </w:style>
  <w:style w:type="table" w:customStyle="1" w:styleId="affffffffffff0">
    <w:basedOn w:val="TableNormal"/>
    <w:tblPr>
      <w:tblStyleRowBandSize w:val="1"/>
      <w:tblStyleColBandSize w:val="1"/>
      <w:tblCellMar>
        <w:top w:w="100" w:type="dxa"/>
        <w:left w:w="115" w:type="dxa"/>
        <w:bottom w:w="100" w:type="dxa"/>
        <w:right w:w="115" w:type="dxa"/>
      </w:tblCellMar>
    </w:tblPr>
  </w:style>
  <w:style w:type="table" w:customStyle="1" w:styleId="affffffffffff1">
    <w:basedOn w:val="TableNormal"/>
    <w:tblPr>
      <w:tblStyleRowBandSize w:val="1"/>
      <w:tblStyleColBandSize w:val="1"/>
      <w:tblCellMar>
        <w:top w:w="100" w:type="dxa"/>
        <w:left w:w="115" w:type="dxa"/>
        <w:bottom w:w="100" w:type="dxa"/>
        <w:right w:w="115" w:type="dxa"/>
      </w:tblCellMar>
    </w:tblPr>
  </w:style>
  <w:style w:type="table" w:customStyle="1" w:styleId="affffffffffff2">
    <w:basedOn w:val="TableNormal"/>
    <w:tblPr>
      <w:tblStyleRowBandSize w:val="1"/>
      <w:tblStyleColBandSize w:val="1"/>
      <w:tblCellMar>
        <w:top w:w="100" w:type="dxa"/>
        <w:left w:w="115" w:type="dxa"/>
        <w:bottom w:w="100" w:type="dxa"/>
        <w:right w:w="115" w:type="dxa"/>
      </w:tblCellMar>
    </w:tblPr>
  </w:style>
  <w:style w:type="table" w:customStyle="1" w:styleId="affffffffffff3">
    <w:basedOn w:val="TableNormal"/>
    <w:tblPr>
      <w:tblStyleRowBandSize w:val="1"/>
      <w:tblStyleColBandSize w:val="1"/>
      <w:tblCellMar>
        <w:top w:w="100" w:type="dxa"/>
        <w:left w:w="115" w:type="dxa"/>
        <w:bottom w:w="100" w:type="dxa"/>
        <w:right w:w="115" w:type="dxa"/>
      </w:tblCellMar>
    </w:tblPr>
  </w:style>
  <w:style w:type="table" w:customStyle="1" w:styleId="affffffffffff4">
    <w:basedOn w:val="TableNormal"/>
    <w:tblPr>
      <w:tblStyleRowBandSize w:val="1"/>
      <w:tblStyleColBandSize w:val="1"/>
      <w:tblCellMar>
        <w:top w:w="100" w:type="dxa"/>
        <w:left w:w="115" w:type="dxa"/>
        <w:bottom w:w="100" w:type="dxa"/>
        <w:right w:w="115" w:type="dxa"/>
      </w:tblCellMar>
    </w:tblPr>
  </w:style>
  <w:style w:type="table" w:customStyle="1" w:styleId="affffffffffff5">
    <w:basedOn w:val="TableNormal"/>
    <w:tblPr>
      <w:tblStyleRowBandSize w:val="1"/>
      <w:tblStyleColBandSize w:val="1"/>
      <w:tblCellMar>
        <w:top w:w="100" w:type="dxa"/>
        <w:left w:w="115" w:type="dxa"/>
        <w:bottom w:w="100" w:type="dxa"/>
        <w:right w:w="115" w:type="dxa"/>
      </w:tblCellMar>
    </w:tblPr>
  </w:style>
  <w:style w:type="table" w:customStyle="1" w:styleId="affffffffffff6">
    <w:basedOn w:val="TableNormal"/>
    <w:tblPr>
      <w:tblStyleRowBandSize w:val="1"/>
      <w:tblStyleColBandSize w:val="1"/>
      <w:tblCellMar>
        <w:top w:w="100" w:type="dxa"/>
        <w:left w:w="115" w:type="dxa"/>
        <w:bottom w:w="100" w:type="dxa"/>
        <w:right w:w="115" w:type="dxa"/>
      </w:tblCellMar>
    </w:tblPr>
  </w:style>
  <w:style w:type="table" w:customStyle="1" w:styleId="affffffffffff7">
    <w:basedOn w:val="TableNormal"/>
    <w:tblPr>
      <w:tblStyleRowBandSize w:val="1"/>
      <w:tblStyleColBandSize w:val="1"/>
      <w:tblCellMar>
        <w:top w:w="100" w:type="dxa"/>
        <w:left w:w="115" w:type="dxa"/>
        <w:bottom w:w="100" w:type="dxa"/>
        <w:right w:w="115" w:type="dxa"/>
      </w:tblCellMar>
    </w:tblPr>
  </w:style>
  <w:style w:type="table" w:customStyle="1" w:styleId="affffffffffff8">
    <w:basedOn w:val="TableNormal"/>
    <w:tblPr>
      <w:tblStyleRowBandSize w:val="1"/>
      <w:tblStyleColBandSize w:val="1"/>
      <w:tblCellMar>
        <w:top w:w="100" w:type="dxa"/>
        <w:left w:w="115" w:type="dxa"/>
        <w:bottom w:w="100" w:type="dxa"/>
        <w:right w:w="115" w:type="dxa"/>
      </w:tblCellMar>
    </w:tblPr>
  </w:style>
  <w:style w:type="table" w:customStyle="1" w:styleId="affffffffffff9">
    <w:basedOn w:val="TableNormal"/>
    <w:tblPr>
      <w:tblStyleRowBandSize w:val="1"/>
      <w:tblStyleColBandSize w:val="1"/>
      <w:tblCellMar>
        <w:top w:w="100" w:type="dxa"/>
        <w:left w:w="115" w:type="dxa"/>
        <w:bottom w:w="100" w:type="dxa"/>
        <w:right w:w="115" w:type="dxa"/>
      </w:tblCellMar>
    </w:tblPr>
  </w:style>
  <w:style w:type="table" w:customStyle="1" w:styleId="affffffffffffa">
    <w:basedOn w:val="TableNormal"/>
    <w:tblPr>
      <w:tblStyleRowBandSize w:val="1"/>
      <w:tblStyleColBandSize w:val="1"/>
      <w:tblCellMar>
        <w:top w:w="100" w:type="dxa"/>
        <w:left w:w="115" w:type="dxa"/>
        <w:bottom w:w="100" w:type="dxa"/>
        <w:right w:w="115" w:type="dxa"/>
      </w:tblCellMar>
    </w:tblPr>
  </w:style>
  <w:style w:type="table" w:customStyle="1" w:styleId="affffffffffffb">
    <w:basedOn w:val="TableNormal"/>
    <w:tblPr>
      <w:tblStyleRowBandSize w:val="1"/>
      <w:tblStyleColBandSize w:val="1"/>
      <w:tblCellMar>
        <w:top w:w="100" w:type="dxa"/>
        <w:left w:w="115" w:type="dxa"/>
        <w:bottom w:w="100" w:type="dxa"/>
        <w:right w:w="115" w:type="dxa"/>
      </w:tblCellMar>
    </w:tblPr>
  </w:style>
  <w:style w:type="table" w:customStyle="1" w:styleId="affffffffffffc">
    <w:basedOn w:val="TableNormal"/>
    <w:tblPr>
      <w:tblStyleRowBandSize w:val="1"/>
      <w:tblStyleColBandSize w:val="1"/>
      <w:tblCellMar>
        <w:top w:w="100" w:type="dxa"/>
        <w:left w:w="115" w:type="dxa"/>
        <w:bottom w:w="100" w:type="dxa"/>
        <w:right w:w="115" w:type="dxa"/>
      </w:tblCellMar>
    </w:tblPr>
  </w:style>
  <w:style w:type="table" w:customStyle="1" w:styleId="affffffffffffd">
    <w:basedOn w:val="TableNormal"/>
    <w:tblPr>
      <w:tblStyleRowBandSize w:val="1"/>
      <w:tblStyleColBandSize w:val="1"/>
      <w:tblCellMar>
        <w:top w:w="100" w:type="dxa"/>
        <w:left w:w="115" w:type="dxa"/>
        <w:bottom w:w="100" w:type="dxa"/>
        <w:right w:w="115" w:type="dxa"/>
      </w:tblCellMar>
    </w:tblPr>
  </w:style>
  <w:style w:type="table" w:customStyle="1" w:styleId="affffffffffffe">
    <w:basedOn w:val="TableNormal"/>
    <w:tblPr>
      <w:tblStyleRowBandSize w:val="1"/>
      <w:tblStyleColBandSize w:val="1"/>
      <w:tblCellMar>
        <w:top w:w="100" w:type="dxa"/>
        <w:left w:w="115" w:type="dxa"/>
        <w:bottom w:w="100" w:type="dxa"/>
        <w:right w:w="115" w:type="dxa"/>
      </w:tblCellMar>
    </w:tblPr>
  </w:style>
  <w:style w:type="table" w:customStyle="1" w:styleId="afffffffffffff">
    <w:basedOn w:val="TableNormal"/>
    <w:tblPr>
      <w:tblStyleRowBandSize w:val="1"/>
      <w:tblStyleColBandSize w:val="1"/>
      <w:tblCellMar>
        <w:top w:w="100" w:type="dxa"/>
        <w:left w:w="115" w:type="dxa"/>
        <w:bottom w:w="100" w:type="dxa"/>
        <w:right w:w="115" w:type="dxa"/>
      </w:tblCellMar>
    </w:tblPr>
  </w:style>
  <w:style w:type="table" w:customStyle="1" w:styleId="afffffffffffff0">
    <w:basedOn w:val="TableNormal"/>
    <w:tblPr>
      <w:tblStyleRowBandSize w:val="1"/>
      <w:tblStyleColBandSize w:val="1"/>
      <w:tblCellMar>
        <w:top w:w="100" w:type="dxa"/>
        <w:left w:w="115" w:type="dxa"/>
        <w:bottom w:w="100" w:type="dxa"/>
        <w:right w:w="115" w:type="dxa"/>
      </w:tblCellMar>
    </w:tblPr>
  </w:style>
  <w:style w:type="table" w:customStyle="1" w:styleId="afffffffffffff1">
    <w:basedOn w:val="TableNormal"/>
    <w:tblPr>
      <w:tblStyleRowBandSize w:val="1"/>
      <w:tblStyleColBandSize w:val="1"/>
      <w:tblCellMar>
        <w:top w:w="100" w:type="dxa"/>
        <w:left w:w="115" w:type="dxa"/>
        <w:bottom w:w="100" w:type="dxa"/>
        <w:right w:w="115" w:type="dxa"/>
      </w:tblCellMar>
    </w:tblPr>
  </w:style>
  <w:style w:type="table" w:customStyle="1" w:styleId="afffffffffffff2">
    <w:basedOn w:val="TableNormal"/>
    <w:tblPr>
      <w:tblStyleRowBandSize w:val="1"/>
      <w:tblStyleColBandSize w:val="1"/>
      <w:tblCellMar>
        <w:top w:w="100" w:type="dxa"/>
        <w:left w:w="115" w:type="dxa"/>
        <w:bottom w:w="100" w:type="dxa"/>
        <w:right w:w="115" w:type="dxa"/>
      </w:tblCellMar>
    </w:tblPr>
  </w:style>
  <w:style w:type="table" w:customStyle="1" w:styleId="afffffffffffff3">
    <w:basedOn w:val="TableNormal"/>
    <w:tblPr>
      <w:tblStyleRowBandSize w:val="1"/>
      <w:tblStyleColBandSize w:val="1"/>
      <w:tblCellMar>
        <w:top w:w="100" w:type="dxa"/>
        <w:left w:w="115" w:type="dxa"/>
        <w:bottom w:w="100" w:type="dxa"/>
        <w:right w:w="115" w:type="dxa"/>
      </w:tblCellMar>
    </w:tblPr>
  </w:style>
  <w:style w:type="table" w:customStyle="1" w:styleId="afffffffffffff4">
    <w:basedOn w:val="TableNormal"/>
    <w:tblPr>
      <w:tblStyleRowBandSize w:val="1"/>
      <w:tblStyleColBandSize w:val="1"/>
      <w:tblCellMar>
        <w:top w:w="100" w:type="dxa"/>
        <w:left w:w="115" w:type="dxa"/>
        <w:bottom w:w="100" w:type="dxa"/>
        <w:right w:w="115" w:type="dxa"/>
      </w:tblCellMar>
    </w:tblPr>
  </w:style>
  <w:style w:type="table" w:customStyle="1" w:styleId="afffffffffffff5">
    <w:basedOn w:val="TableNormal"/>
    <w:tblPr>
      <w:tblStyleRowBandSize w:val="1"/>
      <w:tblStyleColBandSize w:val="1"/>
      <w:tblCellMar>
        <w:top w:w="100" w:type="dxa"/>
        <w:left w:w="115" w:type="dxa"/>
        <w:bottom w:w="100" w:type="dxa"/>
        <w:right w:w="115" w:type="dxa"/>
      </w:tblCellMar>
    </w:tblPr>
  </w:style>
  <w:style w:type="table" w:customStyle="1" w:styleId="afffffffffffff6">
    <w:basedOn w:val="TableNormal"/>
    <w:tblPr>
      <w:tblStyleRowBandSize w:val="1"/>
      <w:tblStyleColBandSize w:val="1"/>
      <w:tblCellMar>
        <w:top w:w="100" w:type="dxa"/>
        <w:left w:w="115" w:type="dxa"/>
        <w:bottom w:w="100" w:type="dxa"/>
        <w:right w:w="115" w:type="dxa"/>
      </w:tblCellMar>
    </w:tblPr>
  </w:style>
  <w:style w:type="table" w:customStyle="1" w:styleId="afffffffffffff7">
    <w:basedOn w:val="TableNormal"/>
    <w:tblPr>
      <w:tblStyleRowBandSize w:val="1"/>
      <w:tblStyleColBandSize w:val="1"/>
      <w:tblCellMar>
        <w:top w:w="100" w:type="dxa"/>
        <w:left w:w="115" w:type="dxa"/>
        <w:bottom w:w="100" w:type="dxa"/>
        <w:right w:w="115" w:type="dxa"/>
      </w:tblCellMar>
    </w:tblPr>
  </w:style>
  <w:style w:type="table" w:customStyle="1" w:styleId="afffffffffffff8">
    <w:basedOn w:val="TableNormal"/>
    <w:tblPr>
      <w:tblStyleRowBandSize w:val="1"/>
      <w:tblStyleColBandSize w:val="1"/>
      <w:tblCellMar>
        <w:top w:w="100" w:type="dxa"/>
        <w:left w:w="115" w:type="dxa"/>
        <w:bottom w:w="100" w:type="dxa"/>
        <w:right w:w="115" w:type="dxa"/>
      </w:tblCellMar>
    </w:tblPr>
  </w:style>
  <w:style w:type="table" w:customStyle="1" w:styleId="afffffffffffff9">
    <w:basedOn w:val="TableNormal"/>
    <w:tblPr>
      <w:tblStyleRowBandSize w:val="1"/>
      <w:tblStyleColBandSize w:val="1"/>
      <w:tblCellMar>
        <w:top w:w="100" w:type="dxa"/>
        <w:left w:w="115" w:type="dxa"/>
        <w:bottom w:w="100" w:type="dxa"/>
        <w:right w:w="115" w:type="dxa"/>
      </w:tblCellMar>
    </w:tblPr>
  </w:style>
  <w:style w:type="table" w:customStyle="1" w:styleId="afffffffffffffa">
    <w:basedOn w:val="TableNormal"/>
    <w:tblPr>
      <w:tblStyleRowBandSize w:val="1"/>
      <w:tblStyleColBandSize w:val="1"/>
      <w:tblCellMar>
        <w:top w:w="100" w:type="dxa"/>
        <w:left w:w="115" w:type="dxa"/>
        <w:bottom w:w="100" w:type="dxa"/>
        <w:right w:w="115" w:type="dxa"/>
      </w:tblCellMar>
    </w:tblPr>
  </w:style>
  <w:style w:type="table" w:customStyle="1" w:styleId="afffffffffffffb">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nhU1Qw0Of3pegbkjIC3WBNIjVg==">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9196</Words>
  <Characters>52422</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3</cp:revision>
  <dcterms:created xsi:type="dcterms:W3CDTF">2025-01-23T06:39:00Z</dcterms:created>
  <dcterms:modified xsi:type="dcterms:W3CDTF">2025-01-23T08:31:00Z</dcterms:modified>
</cp:coreProperties>
</file>