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8E003" w14:textId="77777777" w:rsidR="00070C2F" w:rsidRDefault="00000000">
      <w:pPr>
        <w:spacing w:before="100" w:beforeAutospacing="1" w:after="100" w:afterAutospacing="1"/>
        <w:jc w:val="center"/>
        <w:rPr>
          <w:rFonts w:ascii="Times New Roman" w:hAnsi="Times New Roman"/>
          <w:b/>
          <w:color w:val="000000"/>
          <w:sz w:val="36"/>
          <w:szCs w:val="36"/>
          <w:lang w:val="vi-VN"/>
        </w:rPr>
      </w:pPr>
      <w:r>
        <w:rPr>
          <w:rFonts w:ascii="Times New Roman" w:hAnsi="Times New Roman"/>
          <w:b/>
          <w:color w:val="000000"/>
          <w:sz w:val="36"/>
          <w:szCs w:val="36"/>
          <w:lang w:val="vi-VN"/>
        </w:rPr>
        <w:t>THÔNG BÁO THỰC HIỆN KHUYẾN MẠI</w:t>
      </w:r>
    </w:p>
    <w:p w14:paraId="7956DAB5" w14:textId="77777777" w:rsidR="00070C2F" w:rsidRDefault="00000000">
      <w:pPr>
        <w:spacing w:before="100" w:beforeAutospacing="1" w:after="100" w:afterAutospacing="1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6"/>
          <w:szCs w:val="26"/>
          <w:lang w:val="vi-VN"/>
        </w:rPr>
        <w:t> </w:t>
      </w:r>
      <w:r>
        <w:rPr>
          <w:rFonts w:ascii="Times New Roman" w:hAnsi="Times New Roman"/>
          <w:color w:val="000000"/>
          <w:sz w:val="26"/>
          <w:szCs w:val="26"/>
          <w:lang w:val="vi-VN"/>
        </w:rPr>
        <w:tab/>
      </w:r>
      <w:r>
        <w:rPr>
          <w:rFonts w:ascii="Times New Roman" w:hAnsi="Times New Roman"/>
          <w:i/>
          <w:color w:val="000000"/>
          <w:sz w:val="24"/>
          <w:szCs w:val="24"/>
          <w:u w:val="single"/>
          <w:lang w:val="vi-VN"/>
        </w:rPr>
        <w:t>Kính gửi</w:t>
      </w: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>:  </w:t>
      </w:r>
      <w:r>
        <w:rPr>
          <w:rFonts w:ascii="Times New Roman" w:hAnsi="Times New Roman"/>
          <w:b/>
          <w:sz w:val="24"/>
          <w:szCs w:val="24"/>
          <w:lang w:val="vi-VN"/>
        </w:rPr>
        <w:t>Sở Công Thương Tỉnh/ Thành phố trực thuộc trung ương.</w:t>
      </w:r>
    </w:p>
    <w:p w14:paraId="14114944" w14:textId="77777777" w:rsidR="00070C2F" w:rsidRDefault="00000000">
      <w:pPr>
        <w:spacing w:before="100" w:beforeAutospacing="1" w:after="100" w:afterAutospacing="1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            Tên thương nhân: </w:t>
      </w: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>CÔNG TY CỔ PHẦN CON CƯNG</w:t>
      </w:r>
    </w:p>
    <w:p w14:paraId="763484C0" w14:textId="77777777" w:rsidR="00070C2F" w:rsidRDefault="00000000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Địa chỉ: 66 Nguyễn Du, phường Bến Nghé, Quận 1, TP.Hồ Chí Minh </w:t>
      </w:r>
    </w:p>
    <w:p w14:paraId="57D5ABCA" w14:textId="77777777" w:rsidR="00070C2F" w:rsidRDefault="00000000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Điện thoại: 028 7300 6609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ab/>
        <w:t xml:space="preserve"> </w:t>
      </w:r>
    </w:p>
    <w:p w14:paraId="3B2C4FE8" w14:textId="77777777" w:rsidR="00070C2F" w:rsidRDefault="00000000">
      <w:pPr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Mã số thuế: 0313450007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ab/>
      </w:r>
      <w:r>
        <w:rPr>
          <w:rFonts w:ascii="Times New Roman" w:hAnsi="Times New Roman"/>
          <w:color w:val="000000"/>
          <w:sz w:val="24"/>
          <w:szCs w:val="24"/>
          <w:lang w:val="vi-VN"/>
        </w:rPr>
        <w:tab/>
      </w:r>
    </w:p>
    <w:p w14:paraId="27F21AD3" w14:textId="10327977" w:rsidR="00070C2F" w:rsidRDefault="00000000">
      <w:pPr>
        <w:spacing w:before="100" w:beforeAutospacing="1" w:after="100" w:afterAutospacing="1"/>
        <w:jc w:val="both"/>
        <w:rPr>
          <w:rFonts w:ascii="Times New Roman" w:hAnsi="Times New Roman"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Công ty Cổ phần Con Cưng thông báo Chương trình khuyến mại như sau:</w:t>
      </w:r>
    </w:p>
    <w:p w14:paraId="0DFBEA92" w14:textId="77777777" w:rsidR="00070C2F" w:rsidRDefault="00000000">
      <w:pPr>
        <w:numPr>
          <w:ilvl w:val="0"/>
          <w:numId w:val="1"/>
        </w:numPr>
        <w:spacing w:before="120" w:after="120" w:line="276" w:lineRule="auto"/>
        <w:ind w:left="540" w:hanging="540"/>
        <w:rPr>
          <w:rFonts w:ascii="Times New Roman" w:hAnsi="Times New Roman"/>
          <w:b/>
          <w:color w:val="000000"/>
          <w:sz w:val="24"/>
          <w:szCs w:val="24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>Tên chương trình khuyến mại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ab/>
        <w:t xml:space="preserve">: </w:t>
      </w:r>
      <w:r>
        <w:rPr>
          <w:rFonts w:ascii="Times New Roman" w:hAnsi="Times New Roman"/>
          <w:b/>
          <w:color w:val="000000"/>
          <w:sz w:val="24"/>
          <w:szCs w:val="24"/>
          <w:lang w:val="vi-VN"/>
        </w:rPr>
        <w:t>BÉ ĐẾN TẶNG SỮA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T3.2025</w:t>
      </w:r>
    </w:p>
    <w:p w14:paraId="14629552" w14:textId="77777777" w:rsidR="00070C2F" w:rsidRPr="00E04C32" w:rsidRDefault="00000000">
      <w:pPr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vi-VN"/>
        </w:rPr>
      </w:pP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Địa bàn (phạm vi) khuyến mại</w:t>
      </w: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ab/>
        <w:t xml:space="preserve">: </w:t>
      </w:r>
    </w:p>
    <w:p w14:paraId="250719B2" w14:textId="7897B11F" w:rsidR="00070C2F" w:rsidRPr="001D06A7" w:rsidRDefault="00000000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An Giang/Bình Định/Bình</w:t>
      </w:r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Dương/Bắc Giang/Bạc Liêu/Bình Phước/Bến Tre/Bà Rịa-Vũng Tàu/Cà Mau/Cần</w:t>
      </w:r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Thơ/Đắk Lắk/ Đà Nẵng/Đắk Nông/Đồng Nai/Đồng Tháp/Hậu Giang/Hải Phòng/Hồ Chí</w:t>
      </w:r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Minh/Hà Nội/Long An/Lâm Đồng/Nghệ An/Ninh Thuận/Quảng Bình/Quảng Ngãi/Quảng</w:t>
      </w:r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4C32">
        <w:rPr>
          <w:rFonts w:ascii="Times New Roman" w:hAnsi="Times New Roman"/>
          <w:color w:val="000000"/>
          <w:sz w:val="24"/>
          <w:szCs w:val="24"/>
          <w:lang w:val="vi-VN"/>
        </w:rPr>
        <w:t>Ninh/Thái Bình/Tiền Giang/Thái Nguyên/Tây Ninh/Trà Vinh/Vĩnh Long</w:t>
      </w:r>
      <w:r w:rsidR="001D06A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</w:rPr>
        <w:t xml:space="preserve"> CH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</w:rPr>
        <w:t>đính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14:paraId="1C719044" w14:textId="77777777" w:rsidR="00070C2F" w:rsidRPr="00E04C32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ab/>
      </w:r>
      <w:r w:rsidRPr="00E04C32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sdt>
        <w:sdtPr>
          <w:rPr>
            <w:rFonts w:ascii="Times New Roman" w:hAnsi="Times New Roman"/>
            <w:color w:val="000000"/>
            <w:sz w:val="24"/>
            <w:szCs w:val="24"/>
          </w:rPr>
          <w:alias w:val="Chọn hình thức KM phù hợp"/>
          <w:tag w:val="Chọn hình thức KM phù hợp"/>
          <w:id w:val="-1905136508"/>
          <w:placeholder>
            <w:docPart w:val="540598A70794430F9926F296EAE0B659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Pr="00E04C32">
            <w:rPr>
              <w:rFonts w:ascii="Times New Roman" w:hAnsi="Times New Roman"/>
              <w:color w:val="000000"/>
              <w:sz w:val="24"/>
              <w:szCs w:val="24"/>
            </w:rPr>
            <w:t>Tặng hàng hoá không thu tiền không kèm theo việc mua hàng hoá</w:t>
          </w:r>
        </w:sdtContent>
      </w:sdt>
      <w:r w:rsidRPr="00E04C32">
        <w:rPr>
          <w:rFonts w:ascii="Times New Roman" w:hAnsi="Times New Roman"/>
          <w:color w:val="000000"/>
          <w:sz w:val="24"/>
          <w:szCs w:val="24"/>
        </w:rPr>
        <w:t>.</w:t>
      </w:r>
    </w:p>
    <w:p w14:paraId="4BB848EF" w14:textId="77777777" w:rsidR="00070C2F" w:rsidRPr="00E04C32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ab/>
      </w:r>
      <w:r w:rsidRPr="00E04C32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08/03/2024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hết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ngày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24/03/2024</w:t>
      </w:r>
    </w:p>
    <w:p w14:paraId="77D2D68E" w14:textId="77777777" w:rsidR="00070C2F" w:rsidRPr="00E04C32" w:rsidRDefault="00000000">
      <w:pPr>
        <w:numPr>
          <w:ilvl w:val="0"/>
          <w:numId w:val="1"/>
        </w:numPr>
        <w:spacing w:before="120" w:after="120" w:line="276" w:lineRule="auto"/>
        <w:ind w:left="0" w:firstLine="0"/>
        <w:rPr>
          <w:rFonts w:ascii="Times New Roman" w:hAnsi="Times New Roman"/>
          <w:color w:val="000000"/>
          <w:sz w:val="24"/>
          <w:szCs w:val="24"/>
        </w:rPr>
      </w:pPr>
      <w:r w:rsidRPr="00E04C32">
        <w:rPr>
          <w:rFonts w:ascii="Times New Roman" w:hAnsi="Times New Roman"/>
          <w:color w:val="000000"/>
          <w:sz w:val="24"/>
          <w:szCs w:val="24"/>
        </w:rPr>
        <w:t xml:space="preserve">Hàng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E04C32">
        <w:rPr>
          <w:rFonts w:ascii="Times New Roman" w:hAnsi="Times New Roman"/>
          <w:color w:val="000000"/>
          <w:sz w:val="24"/>
          <w:szCs w:val="24"/>
        </w:rPr>
        <w:t xml:space="preserve">:    </w:t>
      </w:r>
      <w:r w:rsidRPr="00E04C32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E04C32">
        <w:rPr>
          <w:rFonts w:ascii="Times New Roman" w:hAnsi="Times New Roman"/>
          <w:sz w:val="24"/>
          <w:szCs w:val="24"/>
        </w:rPr>
        <w:t>hóa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tại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hệ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thống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cửa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hàng Con </w:t>
      </w:r>
      <w:proofErr w:type="spellStart"/>
      <w:r w:rsidRPr="00E04C32">
        <w:rPr>
          <w:rFonts w:ascii="Times New Roman" w:hAnsi="Times New Roman"/>
          <w:sz w:val="24"/>
          <w:szCs w:val="24"/>
        </w:rPr>
        <w:t>Cưng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04C32">
        <w:rPr>
          <w:rFonts w:ascii="Times New Roman" w:hAnsi="Times New Roman"/>
          <w:sz w:val="24"/>
          <w:szCs w:val="24"/>
        </w:rPr>
        <w:t>trừ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các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E04C32">
        <w:rPr>
          <w:rFonts w:ascii="Times New Roman" w:hAnsi="Times New Roman"/>
          <w:sz w:val="24"/>
          <w:szCs w:val="24"/>
        </w:rPr>
        <w:t>hóa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bị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cấm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khuyến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mại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theo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quy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định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của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pháp</w:t>
      </w:r>
      <w:proofErr w:type="spellEnd"/>
      <w:r w:rsidRPr="00E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4C32">
        <w:rPr>
          <w:rFonts w:ascii="Times New Roman" w:hAnsi="Times New Roman"/>
          <w:sz w:val="24"/>
          <w:szCs w:val="24"/>
        </w:rPr>
        <w:t>luật</w:t>
      </w:r>
      <w:proofErr w:type="spellEnd"/>
      <w:r w:rsidRPr="00E04C32">
        <w:rPr>
          <w:rFonts w:ascii="Times New Roman" w:hAnsi="Times New Roman"/>
          <w:sz w:val="24"/>
          <w:szCs w:val="24"/>
        </w:rPr>
        <w:t>)</w:t>
      </w:r>
      <w:r w:rsidRPr="00E04C32">
        <w:rPr>
          <w:rFonts w:ascii="Times New Roman" w:hAnsi="Times New Roman"/>
          <w:sz w:val="24"/>
          <w:szCs w:val="24"/>
        </w:rPr>
        <w:tab/>
      </w:r>
    </w:p>
    <w:p w14:paraId="6E7E0EB4" w14:textId="77777777" w:rsidR="00070C2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dùng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đê</w:t>
      </w:r>
      <w:proofErr w:type="spellEnd"/>
      <w:r>
        <w:rPr>
          <w:rFonts w:ascii="Times New Roman" w:hAnsi="Times New Roman"/>
          <w:sz w:val="24"/>
          <w:szCs w:val="24"/>
        </w:rPr>
        <w:t xml:space="preserve">̉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</w:p>
    <w:p w14:paraId="7506F8D0" w14:textId="0EC0160C" w:rsidR="00070C2F" w:rsidRDefault="00000000">
      <w:pPr>
        <w:spacing w:before="120" w:after="120" w:line="276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>Các hàng hóa tặng kèm không thu tiền liệt kê trong “Danh sách sản phẩm dùng để khuyến mại” đính kèm (Ký hiệu:</w:t>
      </w:r>
      <w:r w:rsidR="00E04C3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59-03/KD-CC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vi-VN"/>
        </w:rPr>
        <w:t>)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dưới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đây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</w:p>
    <w:tbl>
      <w:tblPr>
        <w:tblStyle w:val="TableGrid"/>
        <w:tblW w:w="9483" w:type="dxa"/>
        <w:tblLayout w:type="fixed"/>
        <w:tblLook w:val="04A0" w:firstRow="1" w:lastRow="0" w:firstColumn="1" w:lastColumn="0" w:noHBand="0" w:noVBand="1"/>
      </w:tblPr>
      <w:tblGrid>
        <w:gridCol w:w="728"/>
        <w:gridCol w:w="3663"/>
        <w:gridCol w:w="813"/>
        <w:gridCol w:w="1312"/>
        <w:gridCol w:w="1600"/>
        <w:gridCol w:w="1367"/>
      </w:tblGrid>
      <w:tr w:rsidR="00070C2F" w14:paraId="6632074F" w14:textId="77777777">
        <w:trPr>
          <w:trHeight w:val="991"/>
        </w:trPr>
        <w:tc>
          <w:tcPr>
            <w:tcW w:w="728" w:type="dxa"/>
            <w:vAlign w:val="center"/>
          </w:tcPr>
          <w:p w14:paraId="27843348" w14:textId="77777777" w:rsidR="00070C2F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̣</w:t>
            </w:r>
          </w:p>
        </w:tc>
        <w:tc>
          <w:tcPr>
            <w:tcW w:w="3663" w:type="dxa"/>
            <w:vAlign w:val="center"/>
          </w:tcPr>
          <w:p w14:paraId="15B02468" w14:textId="77777777" w:rsidR="00070C2F" w:rsidRDefault="00000000">
            <w:pPr>
              <w:spacing w:before="120" w:after="120" w:line="276" w:lineRule="auto"/>
              <w:ind w:left="567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phẩm</w:t>
            </w:r>
            <w:proofErr w:type="spellEnd"/>
          </w:p>
        </w:tc>
        <w:tc>
          <w:tcPr>
            <w:tcW w:w="813" w:type="dxa"/>
            <w:vAlign w:val="center"/>
          </w:tcPr>
          <w:p w14:paraId="217155B1" w14:textId="77777777" w:rsidR="00070C2F" w:rsidRDefault="00000000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Đơn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vị</w:t>
            </w:r>
            <w:proofErr w:type="spellEnd"/>
          </w:p>
        </w:tc>
        <w:tc>
          <w:tcPr>
            <w:tcW w:w="1312" w:type="dxa"/>
            <w:vAlign w:val="center"/>
          </w:tcPr>
          <w:p w14:paraId="13F12BB7" w14:textId="77777777" w:rsidR="00070C2F" w:rsidRDefault="00000000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sản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phẩm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2"/>
                <w:szCs w:val="24"/>
              </w:rPr>
              <w:t>tặng</w:t>
            </w:r>
            <w:proofErr w:type="spellEnd"/>
          </w:p>
        </w:tc>
        <w:tc>
          <w:tcPr>
            <w:tcW w:w="1600" w:type="dxa"/>
            <w:vAlign w:val="center"/>
          </w:tcPr>
          <w:p w14:paraId="2626B8BD" w14:textId="77777777" w:rsidR="00070C2F" w:rsidRDefault="00000000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sô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lượng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suất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quà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tặng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7" w:type="dxa"/>
            <w:vAlign w:val="center"/>
          </w:tcPr>
          <w:p w14:paraId="3689F969" w14:textId="77777777" w:rsidR="00070C2F" w:rsidRDefault="00000000">
            <w:pPr>
              <w:spacing w:before="120" w:after="120" w:line="276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trị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khuyến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mại</w:t>
            </w:r>
            <w:proofErr w:type="spellEnd"/>
          </w:p>
        </w:tc>
      </w:tr>
      <w:tr w:rsidR="00070C2F" w14:paraId="296EBED9" w14:textId="77777777">
        <w:trPr>
          <w:trHeight w:val="506"/>
        </w:trPr>
        <w:tc>
          <w:tcPr>
            <w:tcW w:w="728" w:type="dxa"/>
            <w:vAlign w:val="center"/>
          </w:tcPr>
          <w:p w14:paraId="284F5D8F" w14:textId="77777777" w:rsidR="00070C2F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3" w:type="dxa"/>
            <w:vAlign w:val="center"/>
          </w:tcPr>
          <w:p w14:paraId="07C4F418" w14:textId="77777777" w:rsidR="00070C2F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Thực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phẩm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bổ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sung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dinh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dưỡng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pha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sẵn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GrowPLUS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+ (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Bạc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), 4x110ml (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trên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1 </w:t>
            </w: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tuổi</w:t>
            </w:r>
            <w:proofErr w:type="spellEnd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813" w:type="dxa"/>
            <w:vAlign w:val="center"/>
          </w:tcPr>
          <w:p w14:paraId="29D4F897" w14:textId="77777777" w:rsidR="00070C2F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vAlign w:val="center"/>
          </w:tcPr>
          <w:p w14:paraId="6A517159" w14:textId="77777777" w:rsidR="00070C2F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47,000</w:t>
            </w:r>
          </w:p>
        </w:tc>
        <w:tc>
          <w:tcPr>
            <w:tcW w:w="1600" w:type="dxa"/>
            <w:vAlign w:val="center"/>
          </w:tcPr>
          <w:p w14:paraId="517661E3" w14:textId="77777777" w:rsidR="00070C2F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1,500</w:t>
            </w:r>
          </w:p>
        </w:tc>
        <w:tc>
          <w:tcPr>
            <w:tcW w:w="1367" w:type="dxa"/>
            <w:noWrap/>
            <w:vAlign w:val="center"/>
          </w:tcPr>
          <w:p w14:paraId="45961349" w14:textId="77777777" w:rsidR="00070C2F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70,500,000</w:t>
            </w:r>
          </w:p>
        </w:tc>
      </w:tr>
      <w:tr w:rsidR="00070C2F" w:rsidRPr="001D06A7" w14:paraId="080C1E01" w14:textId="77777777">
        <w:trPr>
          <w:trHeight w:val="506"/>
        </w:trPr>
        <w:tc>
          <w:tcPr>
            <w:tcW w:w="728" w:type="dxa"/>
            <w:vAlign w:val="center"/>
          </w:tcPr>
          <w:p w14:paraId="189C50D1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63" w:type="dxa"/>
            <w:vAlign w:val="center"/>
          </w:tcPr>
          <w:p w14:paraId="3FD52E6E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Thực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phẩm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bổ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sung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dinh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dưỡng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pha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sẵn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GrowPLUS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+ Colos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Immunel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, 4x110ml (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trên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1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tuổi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813" w:type="dxa"/>
            <w:vAlign w:val="center"/>
          </w:tcPr>
          <w:p w14:paraId="7062F6E4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vAlign w:val="center"/>
          </w:tcPr>
          <w:p w14:paraId="1FA68D3B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52,000</w:t>
            </w:r>
          </w:p>
        </w:tc>
        <w:tc>
          <w:tcPr>
            <w:tcW w:w="1600" w:type="dxa"/>
            <w:vAlign w:val="center"/>
          </w:tcPr>
          <w:p w14:paraId="5384C269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1,000</w:t>
            </w:r>
          </w:p>
        </w:tc>
        <w:tc>
          <w:tcPr>
            <w:tcW w:w="1367" w:type="dxa"/>
            <w:noWrap/>
            <w:vAlign w:val="center"/>
          </w:tcPr>
          <w:p w14:paraId="272315E8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52,000,000</w:t>
            </w:r>
          </w:p>
        </w:tc>
      </w:tr>
      <w:tr w:rsidR="00070C2F" w:rsidRPr="001D06A7" w14:paraId="3E73FC58" w14:textId="77777777">
        <w:trPr>
          <w:trHeight w:val="506"/>
        </w:trPr>
        <w:tc>
          <w:tcPr>
            <w:tcW w:w="728" w:type="dxa"/>
            <w:vAlign w:val="center"/>
          </w:tcPr>
          <w:p w14:paraId="53E7D318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3" w:type="dxa"/>
            <w:vAlign w:val="center"/>
          </w:tcPr>
          <w:p w14:paraId="7F9A2B89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uống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dinh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dưỡng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Colos Gain 110ml,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4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hộp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(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trên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1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tuổi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813" w:type="dxa"/>
            <w:vAlign w:val="center"/>
          </w:tcPr>
          <w:p w14:paraId="58853595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vAlign w:val="center"/>
          </w:tcPr>
          <w:p w14:paraId="09657710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36,000</w:t>
            </w:r>
          </w:p>
        </w:tc>
        <w:tc>
          <w:tcPr>
            <w:tcW w:w="1600" w:type="dxa"/>
            <w:vAlign w:val="center"/>
          </w:tcPr>
          <w:p w14:paraId="149563CD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2,000</w:t>
            </w:r>
          </w:p>
        </w:tc>
        <w:tc>
          <w:tcPr>
            <w:tcW w:w="1367" w:type="dxa"/>
            <w:noWrap/>
            <w:vAlign w:val="center"/>
          </w:tcPr>
          <w:p w14:paraId="422271C9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72,000,000</w:t>
            </w:r>
          </w:p>
        </w:tc>
      </w:tr>
      <w:tr w:rsidR="00070C2F" w:rsidRPr="001D06A7" w14:paraId="2900F178" w14:textId="77777777">
        <w:trPr>
          <w:trHeight w:val="506"/>
        </w:trPr>
        <w:tc>
          <w:tcPr>
            <w:tcW w:w="728" w:type="dxa"/>
            <w:vAlign w:val="center"/>
          </w:tcPr>
          <w:p w14:paraId="02A48B06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63" w:type="dxa"/>
            <w:vAlign w:val="center"/>
          </w:tcPr>
          <w:p w14:paraId="7D760A7E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Thực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phẩm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bổ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sung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ngày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vị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gạo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,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ngô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chuối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và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dâu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rừng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Agusha</w:t>
            </w:r>
            <w:proofErr w:type="spellEnd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 xml:space="preserve"> 200ml</w:t>
            </w:r>
          </w:p>
        </w:tc>
        <w:tc>
          <w:tcPr>
            <w:tcW w:w="813" w:type="dxa"/>
            <w:vAlign w:val="center"/>
          </w:tcPr>
          <w:p w14:paraId="347D6F26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Hộp</w:t>
            </w:r>
            <w:proofErr w:type="spellEnd"/>
          </w:p>
        </w:tc>
        <w:tc>
          <w:tcPr>
            <w:tcW w:w="1312" w:type="dxa"/>
            <w:vAlign w:val="center"/>
          </w:tcPr>
          <w:p w14:paraId="4B1DDA73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29,000</w:t>
            </w:r>
          </w:p>
        </w:tc>
        <w:tc>
          <w:tcPr>
            <w:tcW w:w="1600" w:type="dxa"/>
            <w:vAlign w:val="center"/>
          </w:tcPr>
          <w:p w14:paraId="535238DB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3,500</w:t>
            </w:r>
          </w:p>
        </w:tc>
        <w:tc>
          <w:tcPr>
            <w:tcW w:w="1367" w:type="dxa"/>
            <w:noWrap/>
            <w:vAlign w:val="center"/>
          </w:tcPr>
          <w:p w14:paraId="145C038D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1D06A7">
              <w:rPr>
                <w:rFonts w:ascii="Times New Roman" w:eastAsia="SimSun" w:hAnsi="Times New Roman"/>
                <w:sz w:val="22"/>
                <w:szCs w:val="22"/>
                <w:lang w:eastAsia="zh-CN" w:bidi="ar"/>
              </w:rPr>
              <w:t>101,500,000</w:t>
            </w:r>
          </w:p>
        </w:tc>
      </w:tr>
      <w:tr w:rsidR="00070C2F" w:rsidRPr="001D06A7" w14:paraId="1B693B8B" w14:textId="77777777">
        <w:trPr>
          <w:trHeight w:val="506"/>
        </w:trPr>
        <w:tc>
          <w:tcPr>
            <w:tcW w:w="728" w:type="dxa"/>
            <w:vAlign w:val="center"/>
          </w:tcPr>
          <w:p w14:paraId="243C59BE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3" w:type="dxa"/>
            <w:vAlign w:val="center"/>
          </w:tcPr>
          <w:p w14:paraId="3A4B9D00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Friso Gold 110ml (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từ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1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tuổi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) -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4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hộp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- New</w:t>
            </w:r>
          </w:p>
        </w:tc>
        <w:tc>
          <w:tcPr>
            <w:tcW w:w="813" w:type="dxa"/>
            <w:vAlign w:val="center"/>
          </w:tcPr>
          <w:p w14:paraId="01D2CDB7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vAlign w:val="center"/>
          </w:tcPr>
          <w:p w14:paraId="0F2A8840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39,000</w:t>
            </w:r>
          </w:p>
        </w:tc>
        <w:tc>
          <w:tcPr>
            <w:tcW w:w="1600" w:type="dxa"/>
            <w:vAlign w:val="center"/>
          </w:tcPr>
          <w:p w14:paraId="6DB9BD84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1,500</w:t>
            </w:r>
          </w:p>
        </w:tc>
        <w:tc>
          <w:tcPr>
            <w:tcW w:w="1367" w:type="dxa"/>
            <w:noWrap/>
            <w:vAlign w:val="center"/>
          </w:tcPr>
          <w:p w14:paraId="09A85FA0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58,500,000</w:t>
            </w:r>
          </w:p>
        </w:tc>
      </w:tr>
      <w:tr w:rsidR="00070C2F" w:rsidRPr="001D06A7" w14:paraId="55814ED0" w14:textId="77777777">
        <w:trPr>
          <w:trHeight w:val="759"/>
        </w:trPr>
        <w:tc>
          <w:tcPr>
            <w:tcW w:w="728" w:type="dxa"/>
            <w:vAlign w:val="center"/>
          </w:tcPr>
          <w:p w14:paraId="2F1E02BD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63" w:type="dxa"/>
            <w:vAlign w:val="center"/>
          </w:tcPr>
          <w:p w14:paraId="2D5BCBD4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tươi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tiệt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trùng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Oldenburger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có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đường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180ml (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4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hộp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813" w:type="dxa"/>
            <w:vAlign w:val="center"/>
          </w:tcPr>
          <w:p w14:paraId="35A73C36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vAlign w:val="center"/>
          </w:tcPr>
          <w:p w14:paraId="6BBDC64C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40,000</w:t>
            </w:r>
          </w:p>
        </w:tc>
        <w:tc>
          <w:tcPr>
            <w:tcW w:w="1600" w:type="dxa"/>
            <w:noWrap/>
            <w:vAlign w:val="center"/>
          </w:tcPr>
          <w:p w14:paraId="6A6D33EA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1,032</w:t>
            </w:r>
          </w:p>
        </w:tc>
        <w:tc>
          <w:tcPr>
            <w:tcW w:w="1367" w:type="dxa"/>
            <w:noWrap/>
            <w:vAlign w:val="center"/>
          </w:tcPr>
          <w:p w14:paraId="7A6D7DD5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41,280,000</w:t>
            </w:r>
          </w:p>
        </w:tc>
      </w:tr>
      <w:tr w:rsidR="00070C2F" w:rsidRPr="001D06A7" w14:paraId="509895DC" w14:textId="77777777">
        <w:trPr>
          <w:trHeight w:val="312"/>
        </w:trPr>
        <w:tc>
          <w:tcPr>
            <w:tcW w:w="728" w:type="dxa"/>
            <w:vAlign w:val="center"/>
          </w:tcPr>
          <w:p w14:paraId="5CB953E8" w14:textId="77777777" w:rsidR="00070C2F" w:rsidRPr="001D06A7" w:rsidRDefault="00000000">
            <w:pPr>
              <w:spacing w:before="120" w:after="120"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3663" w:type="dxa"/>
            <w:vAlign w:val="center"/>
          </w:tcPr>
          <w:p w14:paraId="4CD4DD06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Sữa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dinh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dưỡng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pha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sẵn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Aptamil Kid, 110ml (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 xml:space="preserve"> 3 </w:t>
            </w: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hộp</w:t>
            </w:r>
            <w:proofErr w:type="spellEnd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)</w:t>
            </w:r>
          </w:p>
        </w:tc>
        <w:tc>
          <w:tcPr>
            <w:tcW w:w="813" w:type="dxa"/>
            <w:noWrap/>
            <w:vAlign w:val="center"/>
          </w:tcPr>
          <w:p w14:paraId="1D2FFEAE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Lốc</w:t>
            </w:r>
            <w:proofErr w:type="spellEnd"/>
          </w:p>
        </w:tc>
        <w:tc>
          <w:tcPr>
            <w:tcW w:w="1312" w:type="dxa"/>
            <w:noWrap/>
            <w:vAlign w:val="center"/>
          </w:tcPr>
          <w:p w14:paraId="554A2856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59,000</w:t>
            </w:r>
          </w:p>
        </w:tc>
        <w:tc>
          <w:tcPr>
            <w:tcW w:w="1600" w:type="dxa"/>
            <w:noWrap/>
            <w:vAlign w:val="center"/>
          </w:tcPr>
          <w:p w14:paraId="18FA3DE4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1,500</w:t>
            </w:r>
          </w:p>
        </w:tc>
        <w:tc>
          <w:tcPr>
            <w:tcW w:w="1367" w:type="dxa"/>
            <w:noWrap/>
            <w:vAlign w:val="center"/>
          </w:tcPr>
          <w:p w14:paraId="532514B7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88,500,000</w:t>
            </w:r>
          </w:p>
        </w:tc>
      </w:tr>
      <w:tr w:rsidR="00070C2F" w:rsidRPr="001D06A7" w14:paraId="6C85C877" w14:textId="77777777">
        <w:trPr>
          <w:trHeight w:val="312"/>
        </w:trPr>
        <w:tc>
          <w:tcPr>
            <w:tcW w:w="6516" w:type="dxa"/>
            <w:gridSpan w:val="4"/>
            <w:vAlign w:val="center"/>
          </w:tcPr>
          <w:p w14:paraId="08B9E98C" w14:textId="77777777" w:rsidR="00070C2F" w:rsidRPr="001D06A7" w:rsidRDefault="00000000">
            <w:pPr>
              <w:spacing w:before="120" w:after="120" w:line="276" w:lineRule="auto"/>
              <w:ind w:left="56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Tổng</w:t>
            </w:r>
            <w:proofErr w:type="spellEnd"/>
            <w:r w:rsidRPr="001D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cộng</w:t>
            </w:r>
            <w:proofErr w:type="spellEnd"/>
          </w:p>
        </w:tc>
        <w:tc>
          <w:tcPr>
            <w:tcW w:w="1600" w:type="dxa"/>
            <w:noWrap/>
            <w:vAlign w:val="center"/>
          </w:tcPr>
          <w:p w14:paraId="5F41646B" w14:textId="77777777" w:rsidR="00070C2F" w:rsidRPr="001D06A7" w:rsidRDefault="00000000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b/>
                <w:bCs/>
                <w:color w:val="000000"/>
                <w:sz w:val="22"/>
                <w:szCs w:val="22"/>
                <w:lang w:eastAsia="zh-CN" w:bidi="ar"/>
              </w:rPr>
              <w:t xml:space="preserve">      12,032 </w:t>
            </w:r>
          </w:p>
        </w:tc>
        <w:tc>
          <w:tcPr>
            <w:tcW w:w="1367" w:type="dxa"/>
            <w:noWrap/>
            <w:vAlign w:val="center"/>
          </w:tcPr>
          <w:p w14:paraId="6AB63E6D" w14:textId="77777777" w:rsidR="00070C2F" w:rsidRPr="001D06A7" w:rsidRDefault="00000000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06A7">
              <w:rPr>
                <w:rFonts w:ascii="Times New Roman" w:eastAsia="SimSun" w:hAnsi="Times New Roman"/>
                <w:color w:val="000000"/>
                <w:sz w:val="22"/>
                <w:szCs w:val="22"/>
                <w:lang w:eastAsia="zh-CN" w:bidi="ar"/>
              </w:rPr>
              <w:t>484,280,000</w:t>
            </w:r>
          </w:p>
        </w:tc>
      </w:tr>
    </w:tbl>
    <w:p w14:paraId="63687A82" w14:textId="77777777" w:rsidR="00070C2F" w:rsidRPr="001D06A7" w:rsidRDefault="00070C2F">
      <w:pPr>
        <w:pStyle w:val="ListParagraph"/>
        <w:spacing w:before="120" w:after="120" w:line="276" w:lineRule="auto"/>
        <w:ind w:left="540"/>
        <w:rPr>
          <w:rFonts w:ascii="Times New Roman" w:hAnsi="Times New Roman"/>
          <w:color w:val="000000"/>
          <w:sz w:val="24"/>
          <w:szCs w:val="24"/>
        </w:rPr>
      </w:pPr>
    </w:p>
    <w:p w14:paraId="3A30C20A" w14:textId="77777777" w:rsidR="00070C2F" w:rsidRDefault="00000000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đối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tượng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hưởng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đến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quan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hàng Con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2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địa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bàn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khuyến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mại</w:t>
      </w:r>
      <w:proofErr w:type="spellEnd"/>
      <w:r w:rsidRPr="001D06A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1D06A7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cần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phát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hàng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B90DA49" w14:textId="77777777" w:rsidR="00070C2F" w:rsidRDefault="00000000">
      <w:pPr>
        <w:pStyle w:val="ListParagraph"/>
        <w:numPr>
          <w:ilvl w:val="0"/>
          <w:numId w:val="1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Cơ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cấu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thưởng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): </w:t>
      </w:r>
      <w:r>
        <w:rPr>
          <w:rFonts w:ascii="Times New Roman" w:hAnsi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/>
          <w:color w:val="000000"/>
          <w:sz w:val="24"/>
          <w:szCs w:val="24"/>
        </w:rPr>
        <w:instrText xml:space="preserve"> MERGEFIELD "CƠ_CẤU_GIẢI_THƯỞNG" </w:instrText>
      </w:r>
      <w:r>
        <w:rPr>
          <w:rFonts w:ascii="Times New Roman" w:hAnsi="Times New Roman"/>
          <w:color w:val="000000"/>
          <w:sz w:val="24"/>
          <w:szCs w:val="24"/>
        </w:rPr>
        <w:fldChar w:fldCharType="separate"/>
      </w:r>
      <w:r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color w:val="000000"/>
          <w:sz w:val="24"/>
          <w:szCs w:val="24"/>
        </w:rPr>
        <w:t>Theo nội dung chi tiết của chương trình khuyến mại (mục 10)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F132EDB" w14:textId="77777777" w:rsidR="00070C2F" w:rsidRDefault="0000000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Tổng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giá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trị</w:t>
      </w:r>
      <w:proofErr w:type="spellEnd"/>
      <w:r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sz w:val="24"/>
          <w:szCs w:val="24"/>
        </w:rPr>
        <w:t>hóa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dịch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vụ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dùng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để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khuyến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mại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SimSun" w:hAnsi="Times New Roman"/>
          <w:b/>
          <w:bCs/>
          <w:color w:val="000000"/>
          <w:sz w:val="22"/>
          <w:szCs w:val="22"/>
          <w:lang w:eastAsia="zh-CN" w:bidi="ar"/>
        </w:rPr>
        <w:t>484,280,000</w:t>
      </w:r>
      <w:r>
        <w:rPr>
          <w:rFonts w:ascii="Times New Roman" w:hAnsi="Times New Roman"/>
          <w:b/>
          <w:sz w:val="24"/>
          <w:szCs w:val="24"/>
        </w:rPr>
        <w:t xml:space="preserve"> VNĐ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Bằng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chữ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Bốn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trăm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tám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mươi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bốn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triệu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hai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trăm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tám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mươi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nghìn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đồng</w:t>
      </w:r>
      <w:proofErr w:type="spellEnd"/>
      <w:r>
        <w:rPr>
          <w:rFonts w:ascii="Times New Roman" w:hAnsi="Times New Roman"/>
          <w:b/>
          <w:color w:val="000000" w:themeColor="text1"/>
          <w:sz w:val="24"/>
          <w:szCs w:val="24"/>
        </w:rPr>
        <w:t>)</w:t>
      </w:r>
    </w:p>
    <w:p w14:paraId="1DF99001" w14:textId="77777777" w:rsidR="00070C2F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chi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0A16475D" w14:textId="77777777" w:rsidR="00070C2F" w:rsidRDefault="00000000">
      <w:pPr>
        <w:pStyle w:val="ListParagraph"/>
        <w:numPr>
          <w:ilvl w:val="1"/>
          <w:numId w:val="2"/>
        </w:numPr>
        <w:spacing w:before="120"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hiện</w:t>
      </w:r>
      <w:proofErr w:type="spellEnd"/>
    </w:p>
    <w:p w14:paraId="13BC7BD3" w14:textId="75CD2938" w:rsidR="00070C2F" w:rsidRPr="001D06A7" w:rsidRDefault="00000000">
      <w:pPr>
        <w:spacing w:after="20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Trong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diễn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tất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cả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hệ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thống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10.2,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01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tại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mục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6 TBKM 59-03/KD-CC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đính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kèm</w:t>
      </w:r>
      <w:proofErr w:type="spellEnd"/>
      <w:r w:rsidR="001D06A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0E71A9B" w14:textId="77777777" w:rsidR="00070C2F" w:rsidRDefault="00000000">
      <w:pPr>
        <w:spacing w:after="20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color w:val="000000"/>
          <w:sz w:val="24"/>
          <w:szCs w:val="24"/>
        </w:rPr>
        <w:t xml:space="preserve">10.2 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Cách</w:t>
      </w:r>
      <w:proofErr w:type="spellEnd"/>
      <w:proofErr w:type="gram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thức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</w:rPr>
        <w:t>gia</w:t>
      </w:r>
      <w:proofErr w:type="spellEnd"/>
    </w:p>
    <w:p w14:paraId="7CF474B0" w14:textId="77777777" w:rsidR="00070C2F" w:rsidRDefault="00000000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- Bước 1: Khách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của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dẫn theo trẻ em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có chiều cao từ 1,3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mét trở xuống đến hệ thống cửa hàng Con Cưng bất kỳ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dụng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tại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mục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2</w:t>
      </w:r>
    </w:p>
    <w:p w14:paraId="492D6F9C" w14:textId="77777777" w:rsidR="00070C2F" w:rsidRDefault="00000000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- Bước 2: Nhân viên Con Cưng ghi nhận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độ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tuổi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trở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chiều cao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giới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thiệu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Bé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Sữa</w:t>
      </w:r>
      <w:proofErr w:type="spellEnd"/>
    </w:p>
    <w:p w14:paraId="6F1F8E42" w14:textId="77777777" w:rsidR="00070C2F" w:rsidRDefault="00000000">
      <w:pPr>
        <w:spacing w:before="120" w:after="120" w:line="276" w:lineRule="auto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val="vi-VN"/>
        </w:rPr>
        <w:t xml:space="preserve">- Bước 3: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được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tự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lựa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chọn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1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bất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dựa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đang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cửa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hàng.</w:t>
      </w:r>
    </w:p>
    <w:p w14:paraId="28A16AF8" w14:textId="77777777" w:rsidR="00070C2F" w:rsidRDefault="00000000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Tiêu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chí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trao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Mỗi số điện thoại đăng ký chỉ áp dụng cho 01 phần quà tương ứng với 01 bé và nhận 01 lần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vi-VN"/>
        </w:rPr>
        <w:t>trong suốt thời gian chạy chương trình khuyến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mại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vi-VN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Số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lượng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thúc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sớm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thời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đăng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39182A3" w14:textId="77777777" w:rsidR="00070C2F" w:rsidRDefault="00000000">
      <w:pPr>
        <w:spacing w:before="120" w:after="120" w:line="276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Tên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nội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dung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thể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từng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tham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gia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trong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(Trường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nhiều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cùng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phối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hoặc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kinh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doanh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hóa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dịch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vụ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nhân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khác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văn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bản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thỏa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thuận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hợp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đồng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gửi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)):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</w:p>
    <w:p w14:paraId="104D7931" w14:textId="77777777" w:rsidR="00070C2F" w:rsidRDefault="00000000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Công ty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Cổ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phần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Con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Cưng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cam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kết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thực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đúng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toàn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chịu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trách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nhiệm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về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Chương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trình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trên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quy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định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của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pháp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luật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hiện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hành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7FA8672" w14:textId="77777777" w:rsidR="001D06A7" w:rsidRDefault="001D06A7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AFD222B" w14:textId="77777777" w:rsidR="001D06A7" w:rsidRDefault="001D06A7">
      <w:pPr>
        <w:spacing w:before="120" w:after="12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DC41FE" w14:textId="77777777" w:rsidR="001D06A7" w:rsidRDefault="001D06A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647999F" w14:textId="77777777" w:rsidR="001D06A7" w:rsidRDefault="001D06A7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E5AB966" w14:textId="77777777" w:rsidR="00C879B6" w:rsidRDefault="00C879B6">
      <w:pPr>
        <w:spacing w:before="120" w:after="12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2ABA88C" w14:textId="49DC5F7A" w:rsidR="001D06A7" w:rsidRPr="001D06A7" w:rsidRDefault="001D06A7" w:rsidP="001D06A7">
      <w:pPr>
        <w:spacing w:before="120" w:after="120" w:line="360" w:lineRule="auto"/>
        <w:ind w:left="720" w:firstLine="7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D06A7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DANH SÁCH CỬA HÀNG ÁP DỤNG KHUYẾN MẠI</w:t>
      </w:r>
    </w:p>
    <w:tbl>
      <w:tblPr>
        <w:tblW w:w="9350" w:type="dxa"/>
        <w:tblLook w:val="04A0" w:firstRow="1" w:lastRow="0" w:firstColumn="1" w:lastColumn="0" w:noHBand="0" w:noVBand="1"/>
      </w:tblPr>
      <w:tblGrid>
        <w:gridCol w:w="568"/>
        <w:gridCol w:w="9063"/>
      </w:tblGrid>
      <w:tr w:rsidR="001D06A7" w:rsidRPr="001D06A7" w14:paraId="79C04C74" w14:textId="77777777" w:rsidTr="001D06A7">
        <w:trPr>
          <w:trHeight w:val="315"/>
        </w:trPr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AD3"/>
            <w:vAlign w:val="bottom"/>
            <w:hideMark/>
          </w:tcPr>
          <w:p w14:paraId="3B57BADF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9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EAD3"/>
            <w:vAlign w:val="bottom"/>
            <w:hideMark/>
          </w:tcPr>
          <w:p w14:paraId="2FA8CCA9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Địa</w:t>
            </w:r>
            <w:proofErr w:type="spellEnd"/>
            <w:r w:rsidRPr="001D06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Chỉ</w:t>
            </w:r>
            <w:proofErr w:type="spellEnd"/>
          </w:p>
        </w:tc>
      </w:tr>
      <w:tr w:rsidR="001D06A7" w:rsidRPr="001D06A7" w14:paraId="2A6DE25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41EEE8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9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7225B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 Quốc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91, Thị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Cái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Dầu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Châu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Giang</w:t>
            </w:r>
          </w:p>
        </w:tc>
      </w:tr>
      <w:tr w:rsidR="001D06A7" w:rsidRPr="001D06A7" w14:paraId="5A640D1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91D370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95EBA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256 Ngô Gia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Tự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Định,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Nhơn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Định</w:t>
            </w:r>
          </w:p>
        </w:tc>
      </w:tr>
      <w:tr w:rsidR="001D06A7" w:rsidRPr="001D06A7" w14:paraId="7A53263A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580201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AC7E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01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NC, Khu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Sổ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Thị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Lai Uyên,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Dương</w:t>
            </w:r>
          </w:p>
        </w:tc>
      </w:tr>
      <w:tr w:rsidR="001D06A7" w:rsidRPr="001D06A7" w14:paraId="72840A5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EE71B5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D29A8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 Yersin,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Tổ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15, Khu 01, 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Cường, TP.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Thủ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Dầu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Dương</w:t>
            </w:r>
          </w:p>
        </w:tc>
      </w:tr>
      <w:tr w:rsidR="001D06A7" w:rsidRPr="001D06A7" w14:paraId="1AB74523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8E8732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7B48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283 Nguyễn </w:t>
            </w:r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An</w:t>
            </w:r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Ninh, 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Dĩ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Dĩ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An, Bình Dương</w:t>
            </w:r>
          </w:p>
        </w:tc>
      </w:tr>
      <w:tr w:rsidR="001D06A7" w:rsidRPr="001D06A7" w14:paraId="0EA01D12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40A3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7451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sô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́ 24-26,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đường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Trần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Phú,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Phường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 TP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bạc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Liêu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Tỉnh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Bạc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Liêu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06A7" w:rsidRPr="001D06A7" w14:paraId="1BA57693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88069E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2B564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1108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Riềng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Đỏ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Khu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2,  P.</w:t>
            </w:r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Tân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Xoài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1D06A7" w:rsidRPr="001D06A7" w14:paraId="40477F3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C2B68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0E33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269 Nguyễn Huệ, KP, Bình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P.  An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Thị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Long,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</w:p>
        </w:tc>
      </w:tr>
      <w:tr w:rsidR="001D06A7" w:rsidRPr="001D06A7" w14:paraId="12E63842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E9104B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2CB83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72B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Khởi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Khương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Bến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Tre,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Bến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Tre</w:t>
            </w:r>
          </w:p>
        </w:tc>
      </w:tr>
      <w:tr w:rsidR="001D06A7" w:rsidRPr="001D06A7" w14:paraId="035739DF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090363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3A469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284 - 286 -288 Trương Công Định,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Vũng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Tàu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Rịa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Vũng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Tàu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1D06A7" w:rsidRPr="001D06A7" w14:paraId="25945883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453DEC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08D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– 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Huỳnh Minh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Thạnh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Thị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Bửu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Xuyên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Mộc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Rịa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Vũng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Tàu</w:t>
            </w:r>
            <w:proofErr w:type="spellEnd"/>
          </w:p>
        </w:tc>
      </w:tr>
      <w:tr w:rsidR="001D06A7" w:rsidRPr="001D06A7" w14:paraId="5E8E0299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1453A9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A4B77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76 Nguyễn Hữu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Thọ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Trung,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Rịa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Rịa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Vũng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Tàu</w:t>
            </w:r>
            <w:proofErr w:type="spellEnd"/>
          </w:p>
        </w:tc>
      </w:tr>
      <w:tr w:rsidR="001D06A7" w:rsidRPr="001D06A7" w14:paraId="17BB3367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696DB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5F8EB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khóm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tp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Mau</w:t>
            </w:r>
          </w:p>
        </w:tc>
      </w:tr>
      <w:tr w:rsidR="001D06A7" w:rsidRPr="001D06A7" w14:paraId="4513D53B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AFBCB4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70768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196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Lợi,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Thơ</w:t>
            </w:r>
          </w:p>
        </w:tc>
      </w:tr>
      <w:tr w:rsidR="001D06A7" w:rsidRPr="001D06A7" w14:paraId="62AA0386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E817F8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4F45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245 Phan Chu Trinh,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Tân Lợi,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Buôn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Ma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Thuột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Đắk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Lắk</w:t>
            </w:r>
            <w:proofErr w:type="spellEnd"/>
          </w:p>
        </w:tc>
      </w:tr>
      <w:tr w:rsidR="001D06A7" w:rsidRPr="001D06A7" w14:paraId="13D68E9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561674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833C3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294 - 296 - 298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Giải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Phóng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Krông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Pắc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Đắk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Lắk</w:t>
            </w:r>
            <w:proofErr w:type="spellEnd"/>
          </w:p>
        </w:tc>
      </w:tr>
      <w:tr w:rsidR="001D06A7" w:rsidRPr="001D06A7" w14:paraId="4BB9CDF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290D06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74AD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81-83 Nguyễn Văn Linh,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Phước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Ninh, </w:t>
            </w:r>
            <w:proofErr w:type="spellStart"/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Q.Hải</w:t>
            </w:r>
            <w:proofErr w:type="spellEnd"/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Châu, TP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Nẵng</w:t>
            </w:r>
            <w:proofErr w:type="spellEnd"/>
          </w:p>
        </w:tc>
      </w:tr>
      <w:tr w:rsidR="001D06A7" w:rsidRPr="001D06A7" w14:paraId="500C5361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204524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954F1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842 - 844 Tôn Đức Thắng,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Khánh Bắc,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Liên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Chiểu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Nẵng</w:t>
            </w:r>
            <w:proofErr w:type="spellEnd"/>
          </w:p>
        </w:tc>
      </w:tr>
      <w:tr w:rsidR="001D06A7" w:rsidRPr="001D06A7" w14:paraId="290E7847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78210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60C6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17, 19, 21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Huỳnh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Thúc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Kháng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Gia Nghĩa,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Đăk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Nông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06A7" w:rsidRPr="001D06A7" w14:paraId="2EF7828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29084C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0108B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281-283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Nguyễn Sinh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Sắc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P2.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Đéc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Tháp</w:t>
            </w:r>
            <w:proofErr w:type="spellEnd"/>
          </w:p>
        </w:tc>
      </w:tr>
      <w:tr w:rsidR="001D06A7" w:rsidRPr="001D06A7" w14:paraId="7D496EA2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5773AB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D6645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158 - 160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Nguyễn Huệ,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Khóm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Cao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Lãnh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Tháp</w:t>
            </w:r>
            <w:proofErr w:type="spellEnd"/>
          </w:p>
        </w:tc>
      </w:tr>
      <w:tr w:rsidR="001D06A7" w:rsidRPr="001D06A7" w14:paraId="6FDF2729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262994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B576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361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Vị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Thanh,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Hậu Giang</w:t>
            </w:r>
          </w:p>
        </w:tc>
      </w:tr>
      <w:tr w:rsidR="001D06A7" w:rsidRPr="001D06A7" w14:paraId="42E4868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EE520B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E5D77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42B-42C-42D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Nguyên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Hãn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Cát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Dài,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Lê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Chân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Hải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06A7" w:rsidRPr="001D06A7" w14:paraId="6DD01B15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09E340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FF1E8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37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BH01 - ô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lô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OTM-5,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khu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đô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thị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Vinhomes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Imperia,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Thượng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Lý,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Hồng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Bàng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Hải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Phòng</w:t>
            </w:r>
            <w:proofErr w:type="spellEnd"/>
          </w:p>
        </w:tc>
      </w:tr>
      <w:tr w:rsidR="001D06A7" w:rsidRPr="001D06A7" w14:paraId="59B03FD0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3ABF19C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0C69C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129 - 131 Lê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Trọng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P.Sơn</w:t>
            </w:r>
            <w:proofErr w:type="spellEnd"/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Kỳ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Q.Tân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, HCM</w:t>
            </w:r>
          </w:p>
        </w:tc>
      </w:tr>
      <w:tr w:rsidR="001D06A7" w:rsidRPr="001D06A7" w14:paraId="3FF2CD3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8CF30A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B6BB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2-4-6 Tuy Lý Vương,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0535DD14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B7BA67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F230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404 Lê Văn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Sỹ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Tân Bình,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6C164CA4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6F003C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F1F1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48A An Dương Vương,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42B49A70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872238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894E4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50-52-54-56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 Khu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dân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cư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Tân,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567E71D5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958997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C2398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553 Hậu Giang,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6, HCM</w:t>
            </w:r>
          </w:p>
        </w:tc>
      </w:tr>
      <w:tr w:rsidR="001D06A7" w:rsidRPr="001D06A7" w14:paraId="609FDB89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E1DCB5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CEDE9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55B Phan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Đăng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Lưu,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Phú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Nhuận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25C949D4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5F314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3E14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61/2A, 6/11A Quang Trung, Khu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8, Thị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trấn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Môn,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Hóc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Môn, Tp.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6401358A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6220536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EAF20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864 Quốc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22, Khu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Củ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Chi, HCM</w:t>
            </w:r>
          </w:p>
        </w:tc>
      </w:tr>
      <w:tr w:rsidR="001D06A7" w:rsidRPr="001D06A7" w14:paraId="5BC51604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6FE3F3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9B92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– 11 – 13 Nguyễn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Trãi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Bến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Thành,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577BF5D7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EA7976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6DD2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Tăng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Bạt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Hổ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  <w:tr w:rsidR="001D06A7" w:rsidRPr="001D06A7" w14:paraId="0B1E683E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93302B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AD26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409,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Nguyễn Văn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Cừ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Ngọc Lâm,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Hà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Nội</w:t>
            </w:r>
            <w:proofErr w:type="spellEnd"/>
          </w:p>
        </w:tc>
      </w:tr>
      <w:tr w:rsidR="001D06A7" w:rsidRPr="001D06A7" w14:paraId="1AB4248F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91D968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3E2C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825,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Ấp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Bình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Xã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Đức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Hạ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Huyện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Đức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Hòa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 An.</w:t>
            </w:r>
          </w:p>
        </w:tc>
      </w:tr>
      <w:tr w:rsidR="001D06A7" w:rsidRPr="001D06A7" w14:paraId="4D2DF3C6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EB3E1F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944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4A-4C Hải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Thượng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06,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thành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Đà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Lạt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Lâm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</w:tr>
      <w:tr w:rsidR="001D06A7" w:rsidRPr="001D06A7" w14:paraId="6CC4C822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EDC63F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B5E7E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97 Lê Hồng Phong,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Bảo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Lộc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Lâm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</w:p>
        </w:tc>
      </w:tr>
      <w:tr w:rsidR="001D06A7" w:rsidRPr="001D06A7" w14:paraId="355A867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3EC1A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779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153 Nguyễn Phong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Sắc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Dũng,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Vinh,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Nghệ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An</w:t>
            </w:r>
          </w:p>
        </w:tc>
      </w:tr>
      <w:tr w:rsidR="001D06A7" w:rsidRPr="001D06A7" w14:paraId="2AA01ACD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E57532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DE392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450A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Thống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Nhất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Mỹ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Hương, Tp. Phan Rang -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Tháp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Chàm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Ninh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Thuận</w:t>
            </w:r>
            <w:proofErr w:type="spellEnd"/>
          </w:p>
        </w:tc>
      </w:tr>
      <w:tr w:rsidR="001D06A7" w:rsidRPr="001D06A7" w14:paraId="02E87E8C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30FE3E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66D37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309 - 311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 Lý,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Hới,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Quảng Bình</w:t>
            </w:r>
          </w:p>
        </w:tc>
      </w:tr>
      <w:tr w:rsidR="001D06A7" w:rsidRPr="001D06A7" w14:paraId="20A5ACCB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4B70BE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0EA9E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386-388 Quang Trung, </w:t>
            </w:r>
            <w:proofErr w:type="spellStart"/>
            <w:proofErr w:type="gram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P.Nguyễn</w:t>
            </w:r>
            <w:proofErr w:type="spellEnd"/>
            <w:proofErr w:type="gram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Nghiêm (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Ngã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Quang Trung -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Tp.Quảng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Ngãi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Quảng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Ngãi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1D06A7" w:rsidRPr="001D06A7" w14:paraId="6BB7050E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2AD6F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2BF4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Giếng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Đồn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Trần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Đạo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Hạ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Long, Quảng Ninh</w:t>
            </w:r>
          </w:p>
        </w:tc>
      </w:tr>
      <w:tr w:rsidR="001D06A7" w:rsidRPr="001D06A7" w14:paraId="41F5E6E9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49ECFC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45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65FA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364-365 Nguyễn Huệ, KP 3, P.2, TX.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Gò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Công,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Tiền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Giang</w:t>
            </w:r>
          </w:p>
        </w:tc>
      </w:tr>
      <w:tr w:rsidR="001D06A7" w:rsidRPr="001D06A7" w14:paraId="02267384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1A8503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F49A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477 Lương Ngọc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Quyến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Phan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Đình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Phùng,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Thái Nguyên,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Thái Nguyên</w:t>
            </w:r>
          </w:p>
        </w:tc>
      </w:tr>
      <w:tr w:rsidR="001D06A7" w:rsidRPr="001D06A7" w14:paraId="64C8AFC0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2A51F1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585D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518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Cách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Mạng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Tháng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Tám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, P3, Tây Ninh</w:t>
            </w:r>
          </w:p>
        </w:tc>
      </w:tr>
      <w:tr w:rsidR="001D06A7" w:rsidRPr="001D06A7" w14:paraId="69A3DB6E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20B57A5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48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E0C8B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62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Điện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Biên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Phủ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Khóm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Trà Vinh,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Tỉnh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Trà Vinh</w:t>
            </w:r>
          </w:p>
        </w:tc>
      </w:tr>
      <w:tr w:rsidR="001D06A7" w:rsidRPr="001D06A7" w14:paraId="3B619B98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25FEDD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49</w:t>
            </w:r>
          </w:p>
        </w:tc>
        <w:tc>
          <w:tcPr>
            <w:tcW w:w="90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F5521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47 - 49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Trưng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Nữ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Vương, P1, Tp.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Vĩnh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Long</w:t>
            </w:r>
          </w:p>
        </w:tc>
      </w:tr>
      <w:tr w:rsidR="001D06A7" w:rsidRPr="001D06A7" w14:paraId="3A472D1B" w14:textId="77777777" w:rsidTr="001D06A7">
        <w:trPr>
          <w:trHeight w:val="315"/>
        </w:trPr>
        <w:tc>
          <w:tcPr>
            <w:tcW w:w="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F06F" w14:textId="77777777" w:rsidR="001D06A7" w:rsidRPr="001D06A7" w:rsidRDefault="001D06A7" w:rsidP="001D06A7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D06A7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A07A" w14:textId="77777777" w:rsidR="001D06A7" w:rsidRPr="001D06A7" w:rsidRDefault="001D06A7" w:rsidP="001D06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– 11 – 13 Nguyễn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Trãi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Phường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Bến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Thành,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Quận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1, Thành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phố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>Hồ</w:t>
            </w:r>
            <w:proofErr w:type="spellEnd"/>
            <w:r w:rsidRPr="001D06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Chí Minh</w:t>
            </w:r>
          </w:p>
        </w:tc>
      </w:tr>
    </w:tbl>
    <w:p w14:paraId="072EF557" w14:textId="77777777" w:rsidR="00070C2F" w:rsidRDefault="00000000">
      <w:pPr>
        <w:tabs>
          <w:tab w:val="left" w:pos="5250"/>
          <w:tab w:val="center" w:pos="6485"/>
        </w:tabs>
        <w:spacing w:before="120" w:after="120" w:line="360" w:lineRule="auto"/>
        <w:ind w:left="3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</w:p>
    <w:sectPr w:rsidR="00070C2F">
      <w:footerReference w:type="default" r:id="rId9"/>
      <w:pgSz w:w="11907" w:h="1683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637B5" w14:textId="77777777" w:rsidR="005C523B" w:rsidRDefault="005C523B">
      <w:r>
        <w:separator/>
      </w:r>
    </w:p>
  </w:endnote>
  <w:endnote w:type="continuationSeparator" w:id="0">
    <w:p w14:paraId="32D8BE72" w14:textId="77777777" w:rsidR="005C523B" w:rsidRDefault="005C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</w:sdtPr>
    <w:sdtEndPr>
      <w:rPr>
        <w:rFonts w:ascii="Times New Roman" w:hAnsi="Times New Roman"/>
      </w:rPr>
    </w:sdtEndPr>
    <w:sdtContent>
      <w:p w14:paraId="75C192D4" w14:textId="77777777" w:rsidR="00070C2F" w:rsidRDefault="00000000">
        <w:pPr>
          <w:pStyle w:val="Footer"/>
          <w:jc w:val="center"/>
          <w:rPr>
            <w:rFonts w:ascii="Times New Roman" w:hAnsi="Times New Roman"/>
          </w:rPr>
        </w:pPr>
        <w:r>
          <w:rPr>
            <w:rFonts w:ascii="Times New Roman" w:hAnsi="Times New Roman"/>
          </w:rPr>
          <w:fldChar w:fldCharType="begin"/>
        </w:r>
        <w:r>
          <w:rPr>
            <w:rFonts w:ascii="Times New Roman" w:hAnsi="Times New Roman"/>
          </w:rPr>
          <w:instrText xml:space="preserve"> PAGE   \* MERGEFORMAT </w:instrText>
        </w:r>
        <w:r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</w:rPr>
          <w:t>2</w:t>
        </w:r>
        <w:r>
          <w:rPr>
            <w:rFonts w:ascii="Times New Roman" w:hAnsi="Times New Roman"/>
          </w:rPr>
          <w:fldChar w:fldCharType="end"/>
        </w:r>
      </w:p>
    </w:sdtContent>
  </w:sdt>
  <w:p w14:paraId="1E2AD870" w14:textId="77777777" w:rsidR="00070C2F" w:rsidRDefault="00070C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DA50" w14:textId="77777777" w:rsidR="005C523B" w:rsidRDefault="005C523B">
      <w:r>
        <w:separator/>
      </w:r>
    </w:p>
  </w:footnote>
  <w:footnote w:type="continuationSeparator" w:id="0">
    <w:p w14:paraId="18141FB9" w14:textId="77777777" w:rsidR="005C523B" w:rsidRDefault="005C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CF4F01"/>
    <w:multiLevelType w:val="multilevel"/>
    <w:tmpl w:val="28CF4F01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7B7D42D2"/>
    <w:multiLevelType w:val="multilevel"/>
    <w:tmpl w:val="7B7D42D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>
      <w:numFmt w:val="bullet"/>
      <w:lvlText w:val="-"/>
      <w:lvlJc w:val="left"/>
      <w:pPr>
        <w:tabs>
          <w:tab w:val="left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412318036">
    <w:abstractNumId w:val="1"/>
  </w:num>
  <w:num w:numId="2" w16cid:durableId="157045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D4B"/>
    <w:rsid w:val="00001667"/>
    <w:rsid w:val="000077F8"/>
    <w:rsid w:val="00016C68"/>
    <w:rsid w:val="00032E4C"/>
    <w:rsid w:val="000335E3"/>
    <w:rsid w:val="00056AAF"/>
    <w:rsid w:val="00070C2F"/>
    <w:rsid w:val="00074ABC"/>
    <w:rsid w:val="000910DF"/>
    <w:rsid w:val="000913DE"/>
    <w:rsid w:val="00095BD1"/>
    <w:rsid w:val="000A7948"/>
    <w:rsid w:val="000B13C6"/>
    <w:rsid w:val="000C1A5F"/>
    <w:rsid w:val="000C76DF"/>
    <w:rsid w:val="000D7CC5"/>
    <w:rsid w:val="000E39C8"/>
    <w:rsid w:val="00100E39"/>
    <w:rsid w:val="00101B37"/>
    <w:rsid w:val="00103CC8"/>
    <w:rsid w:val="00112399"/>
    <w:rsid w:val="00125CD4"/>
    <w:rsid w:val="00132DC2"/>
    <w:rsid w:val="0013353A"/>
    <w:rsid w:val="00136C1C"/>
    <w:rsid w:val="00147234"/>
    <w:rsid w:val="00185CB5"/>
    <w:rsid w:val="00190642"/>
    <w:rsid w:val="001914E7"/>
    <w:rsid w:val="001A27A2"/>
    <w:rsid w:val="001A4477"/>
    <w:rsid w:val="001A4CB6"/>
    <w:rsid w:val="001B02F2"/>
    <w:rsid w:val="001C21A7"/>
    <w:rsid w:val="001C5937"/>
    <w:rsid w:val="001D06A7"/>
    <w:rsid w:val="001D7A0E"/>
    <w:rsid w:val="001E29DE"/>
    <w:rsid w:val="00225661"/>
    <w:rsid w:val="002329B4"/>
    <w:rsid w:val="0024122B"/>
    <w:rsid w:val="00252588"/>
    <w:rsid w:val="00252AB0"/>
    <w:rsid w:val="00255CF8"/>
    <w:rsid w:val="00274476"/>
    <w:rsid w:val="00275247"/>
    <w:rsid w:val="002850E5"/>
    <w:rsid w:val="002858D4"/>
    <w:rsid w:val="002878E3"/>
    <w:rsid w:val="00294D6F"/>
    <w:rsid w:val="00297165"/>
    <w:rsid w:val="002A1192"/>
    <w:rsid w:val="002A570C"/>
    <w:rsid w:val="002A7D05"/>
    <w:rsid w:val="002B01D0"/>
    <w:rsid w:val="002B7949"/>
    <w:rsid w:val="002C7D8C"/>
    <w:rsid w:val="002D35CA"/>
    <w:rsid w:val="002F2E27"/>
    <w:rsid w:val="002F6E36"/>
    <w:rsid w:val="00317EE1"/>
    <w:rsid w:val="00323952"/>
    <w:rsid w:val="00334A0B"/>
    <w:rsid w:val="00335C14"/>
    <w:rsid w:val="00351875"/>
    <w:rsid w:val="00366AB1"/>
    <w:rsid w:val="00381760"/>
    <w:rsid w:val="00391147"/>
    <w:rsid w:val="003962FE"/>
    <w:rsid w:val="003974DD"/>
    <w:rsid w:val="003A2944"/>
    <w:rsid w:val="003A3E79"/>
    <w:rsid w:val="003B7674"/>
    <w:rsid w:val="003B7F48"/>
    <w:rsid w:val="003C04A6"/>
    <w:rsid w:val="003D4D57"/>
    <w:rsid w:val="003E02BB"/>
    <w:rsid w:val="003F7B02"/>
    <w:rsid w:val="00410ADB"/>
    <w:rsid w:val="00430250"/>
    <w:rsid w:val="004316FA"/>
    <w:rsid w:val="00443BD1"/>
    <w:rsid w:val="004555FB"/>
    <w:rsid w:val="004759DB"/>
    <w:rsid w:val="004767E2"/>
    <w:rsid w:val="00481477"/>
    <w:rsid w:val="00482364"/>
    <w:rsid w:val="00483953"/>
    <w:rsid w:val="00487D4B"/>
    <w:rsid w:val="004A2875"/>
    <w:rsid w:val="004A699A"/>
    <w:rsid w:val="004B7A93"/>
    <w:rsid w:val="004C2818"/>
    <w:rsid w:val="004D347A"/>
    <w:rsid w:val="004D3BED"/>
    <w:rsid w:val="004E7348"/>
    <w:rsid w:val="004F0DB9"/>
    <w:rsid w:val="00502CED"/>
    <w:rsid w:val="00503ABF"/>
    <w:rsid w:val="00506848"/>
    <w:rsid w:val="005112F3"/>
    <w:rsid w:val="0051782A"/>
    <w:rsid w:val="00521D1D"/>
    <w:rsid w:val="00522228"/>
    <w:rsid w:val="00533540"/>
    <w:rsid w:val="00540641"/>
    <w:rsid w:val="005460A4"/>
    <w:rsid w:val="005477A0"/>
    <w:rsid w:val="00553D49"/>
    <w:rsid w:val="00557799"/>
    <w:rsid w:val="00562DCF"/>
    <w:rsid w:val="00583E6E"/>
    <w:rsid w:val="00584462"/>
    <w:rsid w:val="00592CB5"/>
    <w:rsid w:val="00592EEF"/>
    <w:rsid w:val="00594132"/>
    <w:rsid w:val="00596470"/>
    <w:rsid w:val="00596FA2"/>
    <w:rsid w:val="005A0043"/>
    <w:rsid w:val="005A55A6"/>
    <w:rsid w:val="005B15C8"/>
    <w:rsid w:val="005B1C09"/>
    <w:rsid w:val="005C34DC"/>
    <w:rsid w:val="005C523B"/>
    <w:rsid w:val="005D4144"/>
    <w:rsid w:val="005D69B9"/>
    <w:rsid w:val="005D79EF"/>
    <w:rsid w:val="005E10F6"/>
    <w:rsid w:val="005E2540"/>
    <w:rsid w:val="005E6D1E"/>
    <w:rsid w:val="005F0D2F"/>
    <w:rsid w:val="005F70B5"/>
    <w:rsid w:val="00604ED7"/>
    <w:rsid w:val="00607BD3"/>
    <w:rsid w:val="006110E4"/>
    <w:rsid w:val="00612059"/>
    <w:rsid w:val="006176DD"/>
    <w:rsid w:val="00625AAE"/>
    <w:rsid w:val="00626F94"/>
    <w:rsid w:val="0063044A"/>
    <w:rsid w:val="00644BBE"/>
    <w:rsid w:val="00654ABC"/>
    <w:rsid w:val="006551A0"/>
    <w:rsid w:val="00655216"/>
    <w:rsid w:val="00655DD8"/>
    <w:rsid w:val="00660EF5"/>
    <w:rsid w:val="00665FAA"/>
    <w:rsid w:val="006671BD"/>
    <w:rsid w:val="0067441F"/>
    <w:rsid w:val="00677361"/>
    <w:rsid w:val="00681D1F"/>
    <w:rsid w:val="00685670"/>
    <w:rsid w:val="006872D2"/>
    <w:rsid w:val="006877B2"/>
    <w:rsid w:val="00690340"/>
    <w:rsid w:val="0069092F"/>
    <w:rsid w:val="006922EF"/>
    <w:rsid w:val="0069488E"/>
    <w:rsid w:val="00696DBD"/>
    <w:rsid w:val="006A0E1E"/>
    <w:rsid w:val="006B11C7"/>
    <w:rsid w:val="006B144D"/>
    <w:rsid w:val="006D0F31"/>
    <w:rsid w:val="006D0F51"/>
    <w:rsid w:val="006D70CE"/>
    <w:rsid w:val="006E1EAF"/>
    <w:rsid w:val="006E4FF7"/>
    <w:rsid w:val="006F162B"/>
    <w:rsid w:val="006F6001"/>
    <w:rsid w:val="00725512"/>
    <w:rsid w:val="00735F85"/>
    <w:rsid w:val="007412F5"/>
    <w:rsid w:val="007567C4"/>
    <w:rsid w:val="00760B79"/>
    <w:rsid w:val="00761130"/>
    <w:rsid w:val="007630A8"/>
    <w:rsid w:val="00763EDD"/>
    <w:rsid w:val="00765E64"/>
    <w:rsid w:val="00767D44"/>
    <w:rsid w:val="0078463F"/>
    <w:rsid w:val="00787A54"/>
    <w:rsid w:val="00791C37"/>
    <w:rsid w:val="007941A2"/>
    <w:rsid w:val="007B1A71"/>
    <w:rsid w:val="007B4349"/>
    <w:rsid w:val="007D476D"/>
    <w:rsid w:val="007E5D92"/>
    <w:rsid w:val="007E6AB2"/>
    <w:rsid w:val="007F6829"/>
    <w:rsid w:val="008016D8"/>
    <w:rsid w:val="00822280"/>
    <w:rsid w:val="008258D6"/>
    <w:rsid w:val="008413E4"/>
    <w:rsid w:val="008558BD"/>
    <w:rsid w:val="00883B53"/>
    <w:rsid w:val="00884DCB"/>
    <w:rsid w:val="008879C5"/>
    <w:rsid w:val="008B12BA"/>
    <w:rsid w:val="008C54BD"/>
    <w:rsid w:val="008C6D20"/>
    <w:rsid w:val="008D545F"/>
    <w:rsid w:val="008E7623"/>
    <w:rsid w:val="008F7745"/>
    <w:rsid w:val="008F7D52"/>
    <w:rsid w:val="00907D7F"/>
    <w:rsid w:val="009110E1"/>
    <w:rsid w:val="009149DE"/>
    <w:rsid w:val="00922425"/>
    <w:rsid w:val="00927292"/>
    <w:rsid w:val="0093329D"/>
    <w:rsid w:val="00940BD6"/>
    <w:rsid w:val="00941314"/>
    <w:rsid w:val="00947F0E"/>
    <w:rsid w:val="00950874"/>
    <w:rsid w:val="009531FF"/>
    <w:rsid w:val="00962BF8"/>
    <w:rsid w:val="00983E80"/>
    <w:rsid w:val="00984675"/>
    <w:rsid w:val="009848F4"/>
    <w:rsid w:val="009A1234"/>
    <w:rsid w:val="009A1937"/>
    <w:rsid w:val="009B407F"/>
    <w:rsid w:val="009B5AD6"/>
    <w:rsid w:val="009B60BC"/>
    <w:rsid w:val="009B6F5A"/>
    <w:rsid w:val="009C15DF"/>
    <w:rsid w:val="009C639B"/>
    <w:rsid w:val="009E3480"/>
    <w:rsid w:val="009E5AD8"/>
    <w:rsid w:val="00A10D4F"/>
    <w:rsid w:val="00A24450"/>
    <w:rsid w:val="00A30048"/>
    <w:rsid w:val="00A34359"/>
    <w:rsid w:val="00A43268"/>
    <w:rsid w:val="00A46C5E"/>
    <w:rsid w:val="00A471F7"/>
    <w:rsid w:val="00A50AF3"/>
    <w:rsid w:val="00A52963"/>
    <w:rsid w:val="00A61E4F"/>
    <w:rsid w:val="00A7357B"/>
    <w:rsid w:val="00A86AB3"/>
    <w:rsid w:val="00A91498"/>
    <w:rsid w:val="00A9440E"/>
    <w:rsid w:val="00AB16B7"/>
    <w:rsid w:val="00AD2BFA"/>
    <w:rsid w:val="00AD4897"/>
    <w:rsid w:val="00AE198F"/>
    <w:rsid w:val="00AE5153"/>
    <w:rsid w:val="00AE6C92"/>
    <w:rsid w:val="00AF01E7"/>
    <w:rsid w:val="00AF399B"/>
    <w:rsid w:val="00AF6F24"/>
    <w:rsid w:val="00B03890"/>
    <w:rsid w:val="00B039DF"/>
    <w:rsid w:val="00B05379"/>
    <w:rsid w:val="00B4035E"/>
    <w:rsid w:val="00B503C3"/>
    <w:rsid w:val="00B67291"/>
    <w:rsid w:val="00B71F13"/>
    <w:rsid w:val="00B74A69"/>
    <w:rsid w:val="00B8527E"/>
    <w:rsid w:val="00B862AC"/>
    <w:rsid w:val="00B908E8"/>
    <w:rsid w:val="00BC2442"/>
    <w:rsid w:val="00BD6A5D"/>
    <w:rsid w:val="00BD7676"/>
    <w:rsid w:val="00BE1B61"/>
    <w:rsid w:val="00BF4532"/>
    <w:rsid w:val="00BF6D9C"/>
    <w:rsid w:val="00C04B68"/>
    <w:rsid w:val="00C07316"/>
    <w:rsid w:val="00C1303F"/>
    <w:rsid w:val="00C21687"/>
    <w:rsid w:val="00C25418"/>
    <w:rsid w:val="00C26C29"/>
    <w:rsid w:val="00C32517"/>
    <w:rsid w:val="00C349DB"/>
    <w:rsid w:val="00C36996"/>
    <w:rsid w:val="00C45AAD"/>
    <w:rsid w:val="00C56F44"/>
    <w:rsid w:val="00C75FAB"/>
    <w:rsid w:val="00C77C03"/>
    <w:rsid w:val="00C80AAC"/>
    <w:rsid w:val="00C832CA"/>
    <w:rsid w:val="00C86778"/>
    <w:rsid w:val="00C879B6"/>
    <w:rsid w:val="00C90FA7"/>
    <w:rsid w:val="00CA3C01"/>
    <w:rsid w:val="00CA4B8C"/>
    <w:rsid w:val="00CB7380"/>
    <w:rsid w:val="00CD6B3E"/>
    <w:rsid w:val="00D03881"/>
    <w:rsid w:val="00D07C1F"/>
    <w:rsid w:val="00D14762"/>
    <w:rsid w:val="00D15DEC"/>
    <w:rsid w:val="00D229B7"/>
    <w:rsid w:val="00D30363"/>
    <w:rsid w:val="00D4111A"/>
    <w:rsid w:val="00D433CE"/>
    <w:rsid w:val="00D46AA1"/>
    <w:rsid w:val="00D51255"/>
    <w:rsid w:val="00D54DC2"/>
    <w:rsid w:val="00D54E34"/>
    <w:rsid w:val="00D6407B"/>
    <w:rsid w:val="00D73EFF"/>
    <w:rsid w:val="00D75BB7"/>
    <w:rsid w:val="00DC3B43"/>
    <w:rsid w:val="00DC3D7D"/>
    <w:rsid w:val="00DC7DDA"/>
    <w:rsid w:val="00DD3D4B"/>
    <w:rsid w:val="00DD7898"/>
    <w:rsid w:val="00DE054F"/>
    <w:rsid w:val="00DE1408"/>
    <w:rsid w:val="00DE4FCF"/>
    <w:rsid w:val="00DE65E7"/>
    <w:rsid w:val="00DE6AE6"/>
    <w:rsid w:val="00DF09F8"/>
    <w:rsid w:val="00DF1BE2"/>
    <w:rsid w:val="00DF4244"/>
    <w:rsid w:val="00DF55D3"/>
    <w:rsid w:val="00E04C32"/>
    <w:rsid w:val="00E11017"/>
    <w:rsid w:val="00E166B0"/>
    <w:rsid w:val="00E25F15"/>
    <w:rsid w:val="00E342EA"/>
    <w:rsid w:val="00E42B7B"/>
    <w:rsid w:val="00E51F46"/>
    <w:rsid w:val="00E522A6"/>
    <w:rsid w:val="00E617F3"/>
    <w:rsid w:val="00E73BC5"/>
    <w:rsid w:val="00E81408"/>
    <w:rsid w:val="00E85D25"/>
    <w:rsid w:val="00E93281"/>
    <w:rsid w:val="00EA13D0"/>
    <w:rsid w:val="00EB27EC"/>
    <w:rsid w:val="00EB3EEB"/>
    <w:rsid w:val="00EC0E08"/>
    <w:rsid w:val="00EC3F47"/>
    <w:rsid w:val="00EC5332"/>
    <w:rsid w:val="00EE75A1"/>
    <w:rsid w:val="00EE7D3A"/>
    <w:rsid w:val="00EF3F72"/>
    <w:rsid w:val="00F01696"/>
    <w:rsid w:val="00F07698"/>
    <w:rsid w:val="00F103F8"/>
    <w:rsid w:val="00F10974"/>
    <w:rsid w:val="00F117C1"/>
    <w:rsid w:val="00F146FE"/>
    <w:rsid w:val="00F1653B"/>
    <w:rsid w:val="00F1764C"/>
    <w:rsid w:val="00F36F04"/>
    <w:rsid w:val="00F41FD5"/>
    <w:rsid w:val="00F459B9"/>
    <w:rsid w:val="00F4791B"/>
    <w:rsid w:val="00F53264"/>
    <w:rsid w:val="00F547F4"/>
    <w:rsid w:val="00F56C63"/>
    <w:rsid w:val="00F61751"/>
    <w:rsid w:val="00F73634"/>
    <w:rsid w:val="00F9236C"/>
    <w:rsid w:val="00F95436"/>
    <w:rsid w:val="00FA0384"/>
    <w:rsid w:val="00FB2C7E"/>
    <w:rsid w:val="00FC0888"/>
    <w:rsid w:val="00FC46CE"/>
    <w:rsid w:val="00FC782A"/>
    <w:rsid w:val="00FE6DC6"/>
    <w:rsid w:val="00FF0891"/>
    <w:rsid w:val="00FF1572"/>
    <w:rsid w:val="02A9706C"/>
    <w:rsid w:val="10E34EB3"/>
    <w:rsid w:val="168128A7"/>
    <w:rsid w:val="17AD78F0"/>
    <w:rsid w:val="19A733DC"/>
    <w:rsid w:val="1DFC5CCD"/>
    <w:rsid w:val="205551BD"/>
    <w:rsid w:val="20DC0077"/>
    <w:rsid w:val="20EB0691"/>
    <w:rsid w:val="213643B3"/>
    <w:rsid w:val="21D6350E"/>
    <w:rsid w:val="29637A76"/>
    <w:rsid w:val="357C632E"/>
    <w:rsid w:val="3B410447"/>
    <w:rsid w:val="3CF70A12"/>
    <w:rsid w:val="42C16B8B"/>
    <w:rsid w:val="4CEA63BF"/>
    <w:rsid w:val="4FD42881"/>
    <w:rsid w:val="57AF7567"/>
    <w:rsid w:val="62A55C60"/>
    <w:rsid w:val="6A5012FB"/>
    <w:rsid w:val="6D29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738CDDF2"/>
  <w15:docId w15:val="{86EB061B-36A3-4781-B395-92EBB53A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NI-Times" w:eastAsia="Times New Roman" w:hAnsi="VNI-Times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ascii="VNI-Times" w:eastAsia="Times New Roman" w:hAnsi="VNI-Times" w:cs="Times New Roman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VNI-Times" w:eastAsia="Times New Roman" w:hAnsi="VNI-Times" w:cs="Times New Roman"/>
      <w:b/>
      <w:bCs/>
      <w:sz w:val="20"/>
      <w:szCs w:val="20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Revision1">
    <w:name w:val="Revision1"/>
    <w:hidden/>
    <w:uiPriority w:val="99"/>
    <w:semiHidden/>
    <w:qFormat/>
    <w:rPr>
      <w:rFonts w:ascii="VNI-Times" w:eastAsia="Times New Roman" w:hAnsi="VNI-Times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D06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06A7"/>
    <w:rPr>
      <w:rFonts w:ascii="VNI-Times" w:eastAsia="Times New Roman" w:hAnsi="VNI-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8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40598A70794430F9926F296EAE0B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F03B4C-7EAC-4963-8DC8-F7C0D02C03C3}"/>
      </w:docPartPr>
      <w:docPartBody>
        <w:p w:rsidR="00D816DB" w:rsidRDefault="00000000">
          <w:pPr>
            <w:pStyle w:val="540598A70794430F9926F296EAE0B659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B0B5D" w:rsidRDefault="00BB0B5D">
      <w:pPr>
        <w:spacing w:line="240" w:lineRule="auto"/>
      </w:pPr>
      <w:r>
        <w:separator/>
      </w:r>
    </w:p>
  </w:endnote>
  <w:endnote w:type="continuationSeparator" w:id="0">
    <w:p w:rsidR="00BB0B5D" w:rsidRDefault="00BB0B5D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NI-Time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B0B5D" w:rsidRDefault="00BB0B5D">
      <w:pPr>
        <w:spacing w:after="0"/>
      </w:pPr>
      <w:r>
        <w:separator/>
      </w:r>
    </w:p>
  </w:footnote>
  <w:footnote w:type="continuationSeparator" w:id="0">
    <w:p w:rsidR="00BB0B5D" w:rsidRDefault="00BB0B5D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36"/>
    <w:rsid w:val="00006A7A"/>
    <w:rsid w:val="00010EBF"/>
    <w:rsid w:val="00014ADE"/>
    <w:rsid w:val="000A5DCE"/>
    <w:rsid w:val="000E4F8C"/>
    <w:rsid w:val="000F163A"/>
    <w:rsid w:val="00115391"/>
    <w:rsid w:val="0014650C"/>
    <w:rsid w:val="00152B1E"/>
    <w:rsid w:val="00184014"/>
    <w:rsid w:val="001B62F5"/>
    <w:rsid w:val="0025214E"/>
    <w:rsid w:val="00286B53"/>
    <w:rsid w:val="002B7C56"/>
    <w:rsid w:val="00303406"/>
    <w:rsid w:val="00321429"/>
    <w:rsid w:val="00335EBF"/>
    <w:rsid w:val="003B3798"/>
    <w:rsid w:val="003B7F48"/>
    <w:rsid w:val="004342A5"/>
    <w:rsid w:val="00460AD0"/>
    <w:rsid w:val="004634E9"/>
    <w:rsid w:val="004D2AA0"/>
    <w:rsid w:val="00500E60"/>
    <w:rsid w:val="00532EE3"/>
    <w:rsid w:val="00535797"/>
    <w:rsid w:val="0054114C"/>
    <w:rsid w:val="00544275"/>
    <w:rsid w:val="005B63C4"/>
    <w:rsid w:val="005B742F"/>
    <w:rsid w:val="005E2663"/>
    <w:rsid w:val="005E4D08"/>
    <w:rsid w:val="00633DEA"/>
    <w:rsid w:val="00672E96"/>
    <w:rsid w:val="0068220D"/>
    <w:rsid w:val="00686125"/>
    <w:rsid w:val="006D76F2"/>
    <w:rsid w:val="00713572"/>
    <w:rsid w:val="00714844"/>
    <w:rsid w:val="0078309C"/>
    <w:rsid w:val="00784FFE"/>
    <w:rsid w:val="007A0250"/>
    <w:rsid w:val="007E7D26"/>
    <w:rsid w:val="00897E52"/>
    <w:rsid w:val="008B3C05"/>
    <w:rsid w:val="008C6D20"/>
    <w:rsid w:val="008E72AA"/>
    <w:rsid w:val="00932F90"/>
    <w:rsid w:val="00942824"/>
    <w:rsid w:val="009C6792"/>
    <w:rsid w:val="00A7279A"/>
    <w:rsid w:val="00AE34C8"/>
    <w:rsid w:val="00AF25DF"/>
    <w:rsid w:val="00B00EB3"/>
    <w:rsid w:val="00B85830"/>
    <w:rsid w:val="00BB0B5D"/>
    <w:rsid w:val="00BB7A7C"/>
    <w:rsid w:val="00BD5B05"/>
    <w:rsid w:val="00BE14B4"/>
    <w:rsid w:val="00C33A60"/>
    <w:rsid w:val="00C42BFC"/>
    <w:rsid w:val="00C46912"/>
    <w:rsid w:val="00C72033"/>
    <w:rsid w:val="00C9339D"/>
    <w:rsid w:val="00CC68B1"/>
    <w:rsid w:val="00CC7177"/>
    <w:rsid w:val="00CF0D9B"/>
    <w:rsid w:val="00D4055B"/>
    <w:rsid w:val="00D816DB"/>
    <w:rsid w:val="00DF4457"/>
    <w:rsid w:val="00E537E6"/>
    <w:rsid w:val="00E57801"/>
    <w:rsid w:val="00E667A2"/>
    <w:rsid w:val="00EA2571"/>
    <w:rsid w:val="00EC3BD9"/>
    <w:rsid w:val="00F42524"/>
    <w:rsid w:val="00F44945"/>
    <w:rsid w:val="00F72D36"/>
    <w:rsid w:val="00FE52ED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customStyle="1" w:styleId="540598A70794430F9926F296EAE0B659">
    <w:name w:val="540598A70794430F9926F296EAE0B659"/>
    <w:qFormat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24840FE7-7F91-4255-B30F-6AF5EE3919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1179</Words>
  <Characters>6721</Characters>
  <Application>Microsoft Office Word</Application>
  <DocSecurity>0</DocSecurity>
  <Lines>56</Lines>
  <Paragraphs>15</Paragraphs>
  <ScaleCrop>false</ScaleCrop>
  <Company>HP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4</cp:revision>
  <cp:lastPrinted>2024-08-22T03:01:00Z</cp:lastPrinted>
  <dcterms:created xsi:type="dcterms:W3CDTF">2025-02-27T10:04:00Z</dcterms:created>
  <dcterms:modified xsi:type="dcterms:W3CDTF">2025-03-05T06:15:00Z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AFD4DEEEF5FE439EBCF86DF504585C09_12</vt:lpwstr>
  </property>
</Properties>
</file>