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246B14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1. BDI - 22 Quang Trung: 22 Quang Trung,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Tăng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Bạt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Hổ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Hoài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Ân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222CB20A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2. HUE - 53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Mạng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: 53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Mạng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ph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Tứ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Hạ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H</w:t>
      </w:r>
      <w:r w:rsidRPr="0066437E">
        <w:rPr>
          <w:rFonts w:asciiTheme="majorHAnsi" w:hAnsiTheme="majorHAnsi" w:cstheme="majorHAnsi" w:hint="eastAsia"/>
          <w:sz w:val="24"/>
          <w:szCs w:val="24"/>
        </w:rPr>
        <w:t>ươ</w:t>
      </w:r>
      <w:r w:rsidRPr="0066437E">
        <w:rPr>
          <w:rFonts w:asciiTheme="majorHAnsi" w:hAnsiTheme="majorHAnsi" w:cstheme="majorHAnsi"/>
          <w:sz w:val="24"/>
          <w:szCs w:val="24"/>
        </w:rPr>
        <w:t xml:space="preserve">ng Trà, TP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Huế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>.</w:t>
      </w:r>
    </w:p>
    <w:p w14:paraId="27B6DFF5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3. BGI - 342-344 Thân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Trung: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342-344 Thân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Trung,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ph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Bích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Động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Việt Yên,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Bắc Giang</w:t>
      </w:r>
    </w:p>
    <w:p w14:paraId="2DBA87EE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4. VLO - 319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ĐT909: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319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ĐT909,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Tam Bình,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Long</w:t>
      </w:r>
    </w:p>
    <w:p w14:paraId="67FD8BB4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5. BVT - 175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52: 175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52,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Bắc 1,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Long, Thành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>.</w:t>
      </w:r>
    </w:p>
    <w:p w14:paraId="04E554DB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6. LAN - 640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ợng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640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ợng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Nh</w:t>
      </w:r>
      <w:r w:rsidRPr="0066437E">
        <w:rPr>
          <w:rFonts w:asciiTheme="majorHAnsi" w:hAnsiTheme="majorHAnsi" w:cstheme="majorHAnsi" w:hint="eastAsia"/>
          <w:sz w:val="24"/>
          <w:szCs w:val="24"/>
        </w:rPr>
        <w:t>ơ</w:t>
      </w:r>
      <w:r w:rsidRPr="0066437E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ợng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Long An</w:t>
      </w:r>
    </w:p>
    <w:p w14:paraId="6CF50E94" w14:textId="77777777" w:rsidR="0066437E" w:rsidRP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 xml:space="preserve">7. DON - 64 Xuân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- Long Khánh: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64,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55,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Xuân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- Long Khánh,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Thọ Chánh,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Xuân Thọ,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Xuân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5EE381A6" w14:textId="103D2660" w:rsidR="0066437E" w:rsidRDefault="0066437E" w:rsidP="006643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37E">
        <w:rPr>
          <w:rFonts w:asciiTheme="majorHAnsi" w:hAnsiTheme="majorHAnsi" w:cstheme="majorHAnsi"/>
          <w:sz w:val="24"/>
          <w:szCs w:val="24"/>
        </w:rPr>
        <w:t>8. DLK - 1305 Hùng V</w:t>
      </w:r>
      <w:r w:rsidRPr="0066437E">
        <w:rPr>
          <w:rFonts w:asciiTheme="majorHAnsi" w:hAnsiTheme="majorHAnsi" w:cstheme="majorHAnsi" w:hint="eastAsia"/>
          <w:sz w:val="24"/>
          <w:szCs w:val="24"/>
        </w:rPr>
        <w:t>ươ</w:t>
      </w:r>
      <w:r w:rsidRPr="0066437E">
        <w:rPr>
          <w:rFonts w:asciiTheme="majorHAnsi" w:hAnsiTheme="majorHAnsi" w:cstheme="majorHAnsi"/>
          <w:sz w:val="24"/>
          <w:szCs w:val="24"/>
        </w:rPr>
        <w:t>ng: 1305 Hùng V</w:t>
      </w:r>
      <w:r w:rsidRPr="0066437E">
        <w:rPr>
          <w:rFonts w:asciiTheme="majorHAnsi" w:hAnsiTheme="majorHAnsi" w:cstheme="majorHAnsi" w:hint="eastAsia"/>
          <w:sz w:val="24"/>
          <w:szCs w:val="24"/>
        </w:rPr>
        <w:t>ươ</w:t>
      </w:r>
      <w:r w:rsidRPr="0066437E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Ph</w:t>
      </w:r>
      <w:r w:rsidRPr="0066437E">
        <w:rPr>
          <w:rFonts w:asciiTheme="majorHAnsi" w:hAnsiTheme="majorHAnsi" w:cstheme="majorHAnsi" w:hint="eastAsia"/>
          <w:sz w:val="24"/>
          <w:szCs w:val="24"/>
        </w:rPr>
        <w:t>ư</w:t>
      </w:r>
      <w:r w:rsidRPr="006643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Thống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Buôn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37E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446A66D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6437E" w:rsidRPr="0066437E">
        <w:rPr>
          <w:rFonts w:asciiTheme="majorHAnsi" w:hAnsiTheme="majorHAnsi" w:cstheme="majorHAnsi"/>
          <w:sz w:val="24"/>
          <w:szCs w:val="24"/>
        </w:rPr>
        <w:t>19/04/2025 - 18/05/2025</w:t>
      </w:r>
      <w:r w:rsidR="0066437E" w:rsidRPr="0066437E">
        <w:rPr>
          <w:rFonts w:asciiTheme="majorHAnsi" w:hAnsiTheme="majorHAnsi" w:cstheme="majorHAnsi"/>
          <w:sz w:val="24"/>
          <w:szCs w:val="24"/>
        </w:rPr>
        <w:t xml:space="preserve"> </w:t>
      </w:r>
      <w:r w:rsidR="00540E41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140AE2A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6437E">
        <w:rPr>
          <w:rFonts w:asciiTheme="majorHAnsi" w:hAnsiTheme="majorHAnsi" w:cstheme="majorHAnsi"/>
          <w:color w:val="000000"/>
          <w:sz w:val="24"/>
          <w:szCs w:val="24"/>
        </w:rPr>
        <w:t>77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08E201B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6437E">
        <w:rPr>
          <w:rFonts w:asciiTheme="majorHAnsi" w:hAnsiTheme="majorHAnsi" w:cstheme="majorHAnsi"/>
          <w:color w:val="000000"/>
          <w:sz w:val="24"/>
          <w:szCs w:val="24"/>
        </w:rPr>
        <w:t>77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93E8D6E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6437E">
        <w:rPr>
          <w:rFonts w:asciiTheme="majorHAnsi" w:hAnsiTheme="majorHAnsi" w:cstheme="majorHAnsi"/>
          <w:color w:val="000000"/>
          <w:sz w:val="24"/>
          <w:szCs w:val="24"/>
        </w:rPr>
        <w:t>77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47B65100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6437E" w:rsidRPr="0066437E">
        <w:rPr>
          <w:rFonts w:asciiTheme="majorHAnsi" w:hAnsiTheme="majorHAnsi" w:cstheme="majorHAnsi"/>
          <w:sz w:val="24"/>
          <w:szCs w:val="24"/>
        </w:rPr>
        <w:t>341.307.595.500</w:t>
      </w:r>
      <w:r w:rsidR="0066437E">
        <w:rPr>
          <w:rFonts w:asciiTheme="majorHAnsi" w:hAnsiTheme="majorHAnsi" w:cstheme="majorHAnsi"/>
          <w:sz w:val="24"/>
          <w:szCs w:val="24"/>
        </w:rPr>
        <w:t xml:space="preserve"> VNĐ (Ba tram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6437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66437E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3289080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6437E">
        <w:rPr>
          <w:rFonts w:asciiTheme="majorHAnsi" w:hAnsiTheme="majorHAnsi" w:cstheme="majorHAnsi"/>
          <w:sz w:val="24"/>
          <w:szCs w:val="24"/>
        </w:rPr>
        <w:t>77</w:t>
      </w:r>
      <w:r w:rsidR="006E56D4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6C29" w14:textId="77777777" w:rsidR="00A76217" w:rsidRDefault="00A76217">
      <w:r>
        <w:separator/>
      </w:r>
    </w:p>
  </w:endnote>
  <w:endnote w:type="continuationSeparator" w:id="0">
    <w:p w14:paraId="310E64EC" w14:textId="77777777" w:rsidR="00A76217" w:rsidRDefault="00A7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D9FBB" w14:textId="77777777" w:rsidR="00A76217" w:rsidRDefault="00A76217">
      <w:r>
        <w:separator/>
      </w:r>
    </w:p>
  </w:footnote>
  <w:footnote w:type="continuationSeparator" w:id="0">
    <w:p w14:paraId="3C90F745" w14:textId="77777777" w:rsidR="00A76217" w:rsidRDefault="00A7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1B9C"/>
    <w:rsid w:val="00176A51"/>
    <w:rsid w:val="001F0C41"/>
    <w:rsid w:val="00211F56"/>
    <w:rsid w:val="00281F2D"/>
    <w:rsid w:val="00321B11"/>
    <w:rsid w:val="00351B38"/>
    <w:rsid w:val="00383581"/>
    <w:rsid w:val="003A1DC4"/>
    <w:rsid w:val="003A3E79"/>
    <w:rsid w:val="0043314E"/>
    <w:rsid w:val="004B69DD"/>
    <w:rsid w:val="00590125"/>
    <w:rsid w:val="00656DF0"/>
    <w:rsid w:val="006F56FA"/>
    <w:rsid w:val="007B45FD"/>
    <w:rsid w:val="007D10B1"/>
    <w:rsid w:val="007E0E08"/>
    <w:rsid w:val="00817BCE"/>
    <w:rsid w:val="00823CB2"/>
    <w:rsid w:val="00827F02"/>
    <w:rsid w:val="00B82C20"/>
    <w:rsid w:val="00D32265"/>
    <w:rsid w:val="00D45443"/>
    <w:rsid w:val="00D55370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15</cp:revision>
  <dcterms:created xsi:type="dcterms:W3CDTF">2024-12-25T07:06:00Z</dcterms:created>
  <dcterms:modified xsi:type="dcterms:W3CDTF">2025-04-16T06:41:00Z</dcterms:modified>
</cp:coreProperties>
</file>