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08663C2" w14:textId="36D067B8" w:rsidR="00F26347" w:rsidRPr="00F26347" w:rsidRDefault="00F26347" w:rsidP="00F2634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26347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hàng 1.13 – 1.14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Tầng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Tòa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S6.02 –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A,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dự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án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Khu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c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công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viên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Thiện,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88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đ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Thiện,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Thiện,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Long Bình,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Thủ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Đức,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Chí Minh</w:t>
      </w:r>
    </w:p>
    <w:p w14:paraId="1EADF560" w14:textId="77777777" w:rsidR="00F26347" w:rsidRPr="00F26347" w:rsidRDefault="00F26347" w:rsidP="00F2634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26347">
        <w:rPr>
          <w:rFonts w:asciiTheme="majorHAnsi" w:hAnsiTheme="majorHAnsi" w:cstheme="majorHAnsi"/>
          <w:sz w:val="24"/>
          <w:szCs w:val="24"/>
        </w:rPr>
        <w:t xml:space="preserve">2. 36 Thân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Trung, Khu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4A,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Trảng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Dài, Thành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Biên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12AB2CEF" w14:textId="77777777" w:rsidR="00F26347" w:rsidRPr="00F26347" w:rsidRDefault="00F26347" w:rsidP="00F2634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26347">
        <w:rPr>
          <w:rFonts w:asciiTheme="majorHAnsi" w:hAnsiTheme="majorHAnsi" w:cstheme="majorHAnsi"/>
          <w:sz w:val="24"/>
          <w:szCs w:val="24"/>
        </w:rPr>
        <w:t xml:space="preserve">3. 230-232 Thân Công Tài,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Nếnh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Việt Yên, Bắc Giang</w:t>
      </w:r>
    </w:p>
    <w:p w14:paraId="4BE7841F" w14:textId="77777777" w:rsidR="00F26347" w:rsidRPr="00F26347" w:rsidRDefault="00F26347" w:rsidP="00F2634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26347">
        <w:rPr>
          <w:rFonts w:asciiTheme="majorHAnsi" w:hAnsiTheme="majorHAnsi" w:cstheme="majorHAnsi"/>
          <w:sz w:val="24"/>
          <w:szCs w:val="24"/>
        </w:rPr>
        <w:t xml:space="preserve">4.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3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đ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ĐT 954,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khóm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X</w:t>
      </w:r>
      <w:r w:rsidRPr="00F26347">
        <w:rPr>
          <w:rFonts w:asciiTheme="majorHAnsi" w:hAnsiTheme="majorHAnsi" w:cstheme="majorHAnsi" w:hint="eastAsia"/>
          <w:sz w:val="24"/>
          <w:szCs w:val="24"/>
        </w:rPr>
        <w:t>ươ</w:t>
      </w:r>
      <w:r w:rsidRPr="00F2634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Chợ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Vàm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Tân,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F26347">
        <w:rPr>
          <w:rFonts w:asciiTheme="majorHAnsi" w:hAnsiTheme="majorHAnsi" w:cstheme="majorHAnsi"/>
          <w:sz w:val="24"/>
          <w:szCs w:val="24"/>
        </w:rPr>
        <w:t>An</w:t>
      </w:r>
      <w:proofErr w:type="gramEnd"/>
      <w:r w:rsidRPr="00F26347">
        <w:rPr>
          <w:rFonts w:asciiTheme="majorHAnsi" w:hAnsiTheme="majorHAnsi" w:cstheme="majorHAnsi"/>
          <w:sz w:val="24"/>
          <w:szCs w:val="24"/>
        </w:rPr>
        <w:t xml:space="preserve"> Giang</w:t>
      </w:r>
    </w:p>
    <w:p w14:paraId="0BC4750D" w14:textId="77777777" w:rsidR="00F26347" w:rsidRPr="00F26347" w:rsidRDefault="00F26347" w:rsidP="00F2634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26347">
        <w:rPr>
          <w:rFonts w:asciiTheme="majorHAnsi" w:hAnsiTheme="majorHAnsi" w:cstheme="majorHAnsi"/>
          <w:sz w:val="24"/>
          <w:szCs w:val="24"/>
        </w:rPr>
        <w:t xml:space="preserve">5,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118 Ngô Quyền,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Ngô Quyền,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Yên,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Phúc</w:t>
      </w:r>
    </w:p>
    <w:p w14:paraId="0ACB3AC2" w14:textId="77777777" w:rsidR="00F26347" w:rsidRPr="00F26347" w:rsidRDefault="00F26347" w:rsidP="00F2634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26347">
        <w:rPr>
          <w:rFonts w:asciiTheme="majorHAnsi" w:hAnsiTheme="majorHAnsi" w:cstheme="majorHAnsi"/>
          <w:sz w:val="24"/>
          <w:szCs w:val="24"/>
        </w:rPr>
        <w:t xml:space="preserve">6/ 240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Xô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Viết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Tĩnh, Thị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Nghèn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Can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Hà Tĩnh</w:t>
      </w:r>
    </w:p>
    <w:p w14:paraId="3199DF72" w14:textId="77777777" w:rsidR="00F26347" w:rsidRPr="00F26347" w:rsidRDefault="00F26347" w:rsidP="00F2634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26347">
        <w:rPr>
          <w:rFonts w:asciiTheme="majorHAnsi" w:hAnsiTheme="majorHAnsi" w:cstheme="majorHAnsi"/>
          <w:sz w:val="24"/>
          <w:szCs w:val="24"/>
        </w:rPr>
        <w:t xml:space="preserve">7. 346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đ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TL766,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Trung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Tín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Xuân Tr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 xml:space="preserve">ờng,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Xuân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771DF060" w14:textId="77777777" w:rsidR="00F26347" w:rsidRPr="00F26347" w:rsidRDefault="00F26347" w:rsidP="00F2634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26347">
        <w:rPr>
          <w:rFonts w:asciiTheme="majorHAnsi" w:hAnsiTheme="majorHAnsi" w:cstheme="majorHAnsi"/>
          <w:sz w:val="24"/>
          <w:szCs w:val="24"/>
        </w:rPr>
        <w:t xml:space="preserve">8. 318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H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Đạo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TT Sa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Thầy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Sa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Thầy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>, Kon Tum</w:t>
      </w:r>
    </w:p>
    <w:p w14:paraId="5EE381A6" w14:textId="529B9C84" w:rsidR="0066437E" w:rsidRDefault="00F26347" w:rsidP="00F2634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26347">
        <w:rPr>
          <w:rFonts w:asciiTheme="majorHAnsi" w:hAnsiTheme="majorHAnsi" w:cstheme="majorHAnsi"/>
          <w:sz w:val="24"/>
          <w:szCs w:val="24"/>
        </w:rPr>
        <w:t xml:space="preserve">9. 216 Võ Thị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Khu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7,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</w:t>
      </w:r>
      <w:r w:rsidRPr="00F26347">
        <w:rPr>
          <w:rFonts w:asciiTheme="majorHAnsi" w:hAnsiTheme="majorHAnsi" w:cstheme="majorHAnsi" w:hint="eastAsia"/>
          <w:sz w:val="24"/>
          <w:szCs w:val="24"/>
        </w:rPr>
        <w:t>ư</w:t>
      </w:r>
      <w:r w:rsidRPr="00F26347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Thống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Nhất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Biên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Hoà,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354AD17A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F26347" w:rsidRPr="00F26347">
        <w:rPr>
          <w:rFonts w:asciiTheme="majorHAnsi" w:hAnsiTheme="majorHAnsi" w:cstheme="majorHAnsi"/>
          <w:sz w:val="24"/>
          <w:szCs w:val="24"/>
        </w:rPr>
        <w:t xml:space="preserve">26/04/2025 - 24/07/2025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5D557CB6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F26347">
        <w:rPr>
          <w:rFonts w:asciiTheme="majorHAnsi" w:hAnsiTheme="majorHAnsi" w:cstheme="majorHAnsi"/>
          <w:color w:val="000000"/>
          <w:sz w:val="24"/>
          <w:szCs w:val="24"/>
        </w:rPr>
        <w:t>95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66BA8EB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17536">
        <w:rPr>
          <w:rFonts w:asciiTheme="majorHAnsi" w:hAnsiTheme="majorHAnsi" w:cstheme="majorHAnsi"/>
          <w:color w:val="000000"/>
          <w:sz w:val="24"/>
          <w:szCs w:val="24"/>
        </w:rPr>
        <w:t>95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E4AF59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F26347">
        <w:rPr>
          <w:rFonts w:asciiTheme="majorHAnsi" w:hAnsiTheme="majorHAnsi" w:cstheme="majorHAnsi"/>
          <w:color w:val="000000"/>
          <w:sz w:val="24"/>
          <w:szCs w:val="24"/>
        </w:rPr>
        <w:t>95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5E3F51EF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F26347" w:rsidRPr="00F26347">
        <w:rPr>
          <w:rFonts w:asciiTheme="majorHAnsi" w:hAnsiTheme="majorHAnsi" w:cstheme="majorHAnsi"/>
          <w:sz w:val="24"/>
          <w:szCs w:val="24"/>
        </w:rPr>
        <w:t>541.612.901.900</w:t>
      </w:r>
      <w:r w:rsidR="00F26347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mốt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0B5818AC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F26347">
        <w:rPr>
          <w:rFonts w:asciiTheme="majorHAnsi" w:hAnsiTheme="majorHAnsi" w:cstheme="majorHAnsi"/>
          <w:sz w:val="24"/>
          <w:szCs w:val="24"/>
        </w:rPr>
        <w:t>95</w:t>
      </w:r>
      <w:r w:rsidR="006E56D4">
        <w:rPr>
          <w:rFonts w:asciiTheme="majorHAnsi" w:hAnsiTheme="majorHAnsi" w:cstheme="majorHAnsi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D88C8" w14:textId="77777777" w:rsidR="000007D0" w:rsidRDefault="000007D0">
      <w:r>
        <w:separator/>
      </w:r>
    </w:p>
  </w:endnote>
  <w:endnote w:type="continuationSeparator" w:id="0">
    <w:p w14:paraId="183FDB17" w14:textId="77777777" w:rsidR="000007D0" w:rsidRDefault="0000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D982" w14:textId="77777777" w:rsidR="000007D0" w:rsidRDefault="000007D0">
      <w:r>
        <w:separator/>
      </w:r>
    </w:p>
  </w:footnote>
  <w:footnote w:type="continuationSeparator" w:id="0">
    <w:p w14:paraId="7889F941" w14:textId="77777777" w:rsidR="000007D0" w:rsidRDefault="0000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7D0"/>
    <w:rsid w:val="00035346"/>
    <w:rsid w:val="000440EE"/>
    <w:rsid w:val="0005411D"/>
    <w:rsid w:val="00075002"/>
    <w:rsid w:val="000773E4"/>
    <w:rsid w:val="00082B13"/>
    <w:rsid w:val="00086C42"/>
    <w:rsid w:val="00091C07"/>
    <w:rsid w:val="0009662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26347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773E4"/>
    <w:rsid w:val="00171B9C"/>
    <w:rsid w:val="00176A51"/>
    <w:rsid w:val="001F0C41"/>
    <w:rsid w:val="00211F56"/>
    <w:rsid w:val="00281F2D"/>
    <w:rsid w:val="00321B11"/>
    <w:rsid w:val="00351B38"/>
    <w:rsid w:val="00383581"/>
    <w:rsid w:val="003A1DC4"/>
    <w:rsid w:val="003A3E79"/>
    <w:rsid w:val="0043314E"/>
    <w:rsid w:val="004B69DD"/>
    <w:rsid w:val="00590125"/>
    <w:rsid w:val="005E35BF"/>
    <w:rsid w:val="00656DF0"/>
    <w:rsid w:val="006D6F23"/>
    <w:rsid w:val="006F56FA"/>
    <w:rsid w:val="007B45FD"/>
    <w:rsid w:val="007D10B1"/>
    <w:rsid w:val="007E0E08"/>
    <w:rsid w:val="00817BCE"/>
    <w:rsid w:val="00823CB2"/>
    <w:rsid w:val="00827F02"/>
    <w:rsid w:val="0097019B"/>
    <w:rsid w:val="00A1685D"/>
    <w:rsid w:val="00AF4B68"/>
    <w:rsid w:val="00B82C20"/>
    <w:rsid w:val="00D32265"/>
    <w:rsid w:val="00D45443"/>
    <w:rsid w:val="00D55370"/>
    <w:rsid w:val="00E2535D"/>
    <w:rsid w:val="00E32899"/>
    <w:rsid w:val="00E70CB1"/>
    <w:rsid w:val="00E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19</cp:revision>
  <dcterms:created xsi:type="dcterms:W3CDTF">2024-12-25T07:06:00Z</dcterms:created>
  <dcterms:modified xsi:type="dcterms:W3CDTF">2025-04-25T10:22:00Z</dcterms:modified>
</cp:coreProperties>
</file>