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3C6858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1. Thửa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439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6,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Võ Nguyên Giáp,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Hà My Đông B,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D</w:t>
      </w:r>
      <w:r w:rsidRPr="006A72FB">
        <w:rPr>
          <w:rFonts w:asciiTheme="majorHAnsi" w:hAnsiTheme="majorHAnsi" w:cstheme="majorHAnsi" w:hint="eastAsia"/>
          <w:sz w:val="24"/>
          <w:szCs w:val="24"/>
        </w:rPr>
        <w:t>ươ</w:t>
      </w:r>
      <w:r w:rsidRPr="006A72FB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Quảng Nam</w:t>
      </w:r>
    </w:p>
    <w:p w14:paraId="5F7BC7B1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2. Thửa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1282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11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1283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11,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ĐT 609C,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Gia Huệ,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Minh,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Quảng Nam</w:t>
      </w:r>
    </w:p>
    <w:p w14:paraId="2AA8B555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3. Thửa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832,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7 (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Trạch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),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1A,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Hải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Bố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Trạch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Quảng Bình</w:t>
      </w:r>
    </w:p>
    <w:p w14:paraId="2541442A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4. 81 Tây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Khu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4 (Khu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cũ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),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Long A, Thành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Thủ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Đức, Thành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Chí Minh</w:t>
      </w:r>
    </w:p>
    <w:p w14:paraId="53E0C145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5. Quốc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14,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11,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Đăk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R'la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Mil,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Nông</w:t>
      </w:r>
      <w:proofErr w:type="spellEnd"/>
    </w:p>
    <w:p w14:paraId="70634EE0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54,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An Lợi B,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Định Yên,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Lấp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Vò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Tháp</w:t>
      </w:r>
      <w:proofErr w:type="spellEnd"/>
    </w:p>
    <w:p w14:paraId="2CD5ED46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7. Thửa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140,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36,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621,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Định Tân,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Bình Châu,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Bình S</w:t>
      </w:r>
      <w:r w:rsidRPr="006A72FB">
        <w:rPr>
          <w:rFonts w:asciiTheme="majorHAnsi" w:hAnsiTheme="majorHAnsi" w:cstheme="majorHAnsi" w:hint="eastAsia"/>
          <w:sz w:val="24"/>
          <w:szCs w:val="24"/>
        </w:rPr>
        <w:t>ơ</w:t>
      </w:r>
      <w:r w:rsidRPr="006A72FB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Quảng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Ngãi</w:t>
      </w:r>
      <w:proofErr w:type="spellEnd"/>
    </w:p>
    <w:p w14:paraId="25FC60AF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8. 176 Phạm Văn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Buôn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Ma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Thuột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Lắk</w:t>
      </w:r>
      <w:proofErr w:type="spellEnd"/>
    </w:p>
    <w:p w14:paraId="5E15F3A3" w14:textId="77777777" w:rsidR="006A72FB" w:rsidRP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 xml:space="preserve">9. 269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Đạo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Kon </w:t>
      </w:r>
      <w:proofErr w:type="spellStart"/>
      <w:proofErr w:type="gramStart"/>
      <w:r w:rsidRPr="006A72FB">
        <w:rPr>
          <w:rFonts w:asciiTheme="majorHAnsi" w:hAnsiTheme="majorHAnsi" w:cstheme="majorHAnsi"/>
          <w:sz w:val="24"/>
          <w:szCs w:val="24"/>
        </w:rPr>
        <w:t>D</w:t>
      </w:r>
      <w:r w:rsidRPr="006A72FB">
        <w:rPr>
          <w:rFonts w:asciiTheme="majorHAnsi" w:hAnsiTheme="majorHAnsi" w:cstheme="majorHAnsi" w:hint="eastAsia"/>
          <w:sz w:val="24"/>
          <w:szCs w:val="24"/>
        </w:rPr>
        <w:t>ơ</w:t>
      </w:r>
      <w:r w:rsidRPr="006A72FB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,</w:t>
      </w:r>
      <w:proofErr w:type="gram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Mang Yang,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Gia Lai</w:t>
      </w:r>
    </w:p>
    <w:p w14:paraId="740C0641" w14:textId="0B309ACC" w:rsidR="006A72FB" w:rsidRDefault="006A72FB" w:rsidP="006A72FB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A72FB">
        <w:rPr>
          <w:rFonts w:asciiTheme="majorHAnsi" w:hAnsiTheme="majorHAnsi" w:cstheme="majorHAnsi"/>
          <w:sz w:val="24"/>
          <w:szCs w:val="24"/>
        </w:rPr>
        <w:t>10. 278 Nguyễn Tri Ph</w:t>
      </w:r>
      <w:r w:rsidRPr="006A72FB">
        <w:rPr>
          <w:rFonts w:asciiTheme="majorHAnsi" w:hAnsiTheme="majorHAnsi" w:cstheme="majorHAnsi" w:hint="eastAsia"/>
          <w:sz w:val="24"/>
          <w:szCs w:val="24"/>
        </w:rPr>
        <w:t>ươ</w:t>
      </w:r>
      <w:r w:rsidRPr="006A72FB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Bình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Đ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4,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</w:t>
      </w:r>
      <w:r w:rsidRPr="006A72FB">
        <w:rPr>
          <w:rFonts w:asciiTheme="majorHAnsi" w:hAnsiTheme="majorHAnsi" w:cstheme="majorHAnsi" w:hint="eastAsia"/>
          <w:sz w:val="24"/>
          <w:szCs w:val="24"/>
        </w:rPr>
        <w:t>ư</w:t>
      </w:r>
      <w:r w:rsidRPr="006A72FB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6A72FB">
        <w:rPr>
          <w:rFonts w:asciiTheme="majorHAnsi" w:hAnsiTheme="majorHAnsi" w:cstheme="majorHAnsi"/>
          <w:sz w:val="24"/>
          <w:szCs w:val="24"/>
        </w:rPr>
        <w:t>An</w:t>
      </w:r>
      <w:proofErr w:type="gramEnd"/>
      <w:r w:rsidRPr="006A72FB">
        <w:rPr>
          <w:rFonts w:asciiTheme="majorHAnsi" w:hAnsiTheme="majorHAnsi" w:cstheme="majorHAnsi"/>
          <w:sz w:val="24"/>
          <w:szCs w:val="24"/>
        </w:rPr>
        <w:t xml:space="preserve"> Bình,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Dĩ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An, </w:t>
      </w:r>
      <w:proofErr w:type="spellStart"/>
      <w:r w:rsidRPr="006A72FB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6A72FB">
        <w:rPr>
          <w:rFonts w:asciiTheme="majorHAnsi" w:hAnsiTheme="majorHAnsi" w:cstheme="majorHAnsi"/>
          <w:sz w:val="24"/>
          <w:szCs w:val="24"/>
        </w:rPr>
        <w:t xml:space="preserve"> Bình D</w:t>
      </w:r>
      <w:r w:rsidRPr="006A72FB">
        <w:rPr>
          <w:rFonts w:asciiTheme="majorHAnsi" w:hAnsiTheme="majorHAnsi" w:cstheme="majorHAnsi" w:hint="eastAsia"/>
          <w:sz w:val="24"/>
          <w:szCs w:val="24"/>
        </w:rPr>
        <w:t>ươ</w:t>
      </w:r>
      <w:r w:rsidRPr="006A72FB">
        <w:rPr>
          <w:rFonts w:asciiTheme="majorHAnsi" w:hAnsiTheme="majorHAnsi" w:cstheme="majorHAnsi"/>
          <w:sz w:val="24"/>
          <w:szCs w:val="24"/>
        </w:rPr>
        <w:t>ng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1113EDE1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6A72FB" w:rsidRPr="006A72FB">
        <w:rPr>
          <w:rFonts w:asciiTheme="majorHAnsi" w:hAnsiTheme="majorHAnsi" w:cstheme="majorHAnsi"/>
          <w:sz w:val="24"/>
          <w:szCs w:val="24"/>
        </w:rPr>
        <w:t>19/07/2025 - 16/10/2025</w:t>
      </w:r>
      <w:r w:rsidR="006A72FB" w:rsidRPr="006A72FB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2B5DB6D7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101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6F0885F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101-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07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05FCECBE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6A72FB">
        <w:rPr>
          <w:rFonts w:asciiTheme="majorHAnsi" w:hAnsiTheme="majorHAnsi" w:cstheme="majorHAnsi"/>
          <w:color w:val="000000"/>
          <w:sz w:val="24"/>
          <w:szCs w:val="24"/>
        </w:rPr>
        <w:t>101</w:t>
      </w:r>
      <w:r w:rsidR="002316F3">
        <w:rPr>
          <w:rFonts w:asciiTheme="majorHAnsi" w:hAnsiTheme="majorHAnsi" w:cstheme="majorHAnsi"/>
          <w:color w:val="000000"/>
          <w:sz w:val="24"/>
          <w:szCs w:val="24"/>
        </w:rPr>
        <w:t>-07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38DF923E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    </w:t>
      </w:r>
      <w:r w:rsidR="006A72FB" w:rsidRPr="006A72FB">
        <w:rPr>
          <w:rFonts w:ascii="Times New Roman" w:eastAsiaTheme="minorHAnsi" w:hAnsi="Times New Roman"/>
          <w:color w:val="000000"/>
          <w:sz w:val="24"/>
          <w:szCs w:val="24"/>
        </w:rPr>
        <w:t>506.077.018.000</w:t>
      </w:r>
      <w:r w:rsidR="002316F3">
        <w:rPr>
          <w:rFonts w:ascii="Times New Roman" w:eastAsiaTheme="minorHAnsi" w:hAnsi="Times New Roman"/>
          <w:color w:val="000000"/>
          <w:sz w:val="24"/>
          <w:szCs w:val="24"/>
        </w:rPr>
        <w:t>VNĐ (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Năm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linh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sáu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tỷ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bảy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bảy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triệu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mười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tám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nghìn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đồng</w:t>
      </w:r>
      <w:proofErr w:type="spellEnd"/>
      <w:r w:rsidR="006A72FB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2316F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40FC1038" w14:textId="1CDAF181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6A72FB">
        <w:rPr>
          <w:rFonts w:asciiTheme="majorHAnsi" w:hAnsiTheme="majorHAnsi" w:cstheme="majorHAnsi"/>
          <w:sz w:val="24"/>
          <w:szCs w:val="24"/>
        </w:rPr>
        <w:t>101</w:t>
      </w:r>
      <w:r w:rsidR="002316F3">
        <w:rPr>
          <w:rFonts w:asciiTheme="majorHAnsi" w:hAnsiTheme="majorHAnsi" w:cstheme="majorHAnsi"/>
          <w:sz w:val="24"/>
          <w:szCs w:val="24"/>
        </w:rPr>
        <w:t>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4C30" w14:textId="77777777" w:rsidR="00865401" w:rsidRDefault="00865401">
      <w:r>
        <w:separator/>
      </w:r>
    </w:p>
  </w:endnote>
  <w:endnote w:type="continuationSeparator" w:id="0">
    <w:p w14:paraId="70F5FA3D" w14:textId="77777777" w:rsidR="00865401" w:rsidRDefault="0086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1D86F" w14:textId="77777777" w:rsidR="00865401" w:rsidRDefault="00865401">
      <w:r>
        <w:separator/>
      </w:r>
    </w:p>
  </w:footnote>
  <w:footnote w:type="continuationSeparator" w:id="0">
    <w:p w14:paraId="60DEE130" w14:textId="77777777" w:rsidR="00865401" w:rsidRDefault="00865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B0FAA"/>
    <w:rsid w:val="008C0180"/>
    <w:rsid w:val="008E2843"/>
    <w:rsid w:val="008E3B9F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C5901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E3B9F"/>
    <w:rsid w:val="0097019B"/>
    <w:rsid w:val="00A1685D"/>
    <w:rsid w:val="00AD0E70"/>
    <w:rsid w:val="00AF4B68"/>
    <w:rsid w:val="00B82C20"/>
    <w:rsid w:val="00C22DD9"/>
    <w:rsid w:val="00C2457F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7</cp:revision>
  <dcterms:created xsi:type="dcterms:W3CDTF">2025-06-06T07:36:00Z</dcterms:created>
  <dcterms:modified xsi:type="dcterms:W3CDTF">2025-07-17T09:45:00Z</dcterms:modified>
</cp:coreProperties>
</file>