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0A15650C" w14:textId="77777777" w:rsidR="009061B1" w:rsidRPr="009A246A" w:rsidRDefault="00000000">
      <w:pPr>
        <w:widowControl w:val="0"/>
        <w:spacing w:before="274" w:line="240" w:lineRule="auto"/>
        <w:ind w:left="1288"/>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Người liên hệ: Mai Nguyễn Phương Linh </w:t>
      </w:r>
      <w:r w:rsidRPr="009A246A">
        <w:rPr>
          <w:rFonts w:ascii="Times New Roman" w:eastAsia="Times New Roman" w:hAnsi="Times New Roman" w:cs="Times New Roman"/>
          <w:color w:val="000000"/>
          <w:sz w:val="24"/>
          <w:szCs w:val="24"/>
        </w:rPr>
        <w:tab/>
        <w:t xml:space="preserve">Điện thoại: 0905288085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77777777" w:rsidR="00BB6B13"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AA4117">
        <w:rPr>
          <w:rFonts w:ascii="Times New Roman" w:eastAsia="Times New Roman" w:hAnsi="Times New Roman" w:cs="Times New Roman"/>
          <w:color w:val="000000"/>
          <w:sz w:val="24"/>
          <w:szCs w:val="24"/>
        </w:rPr>
        <w:br/>
      </w:r>
      <w:r w:rsidR="00187C6B">
        <w:rPr>
          <w:rFonts w:ascii="Times New Roman" w:eastAsia="Times New Roman" w:hAnsi="Times New Roman" w:cs="Times New Roman"/>
          <w:color w:val="000000"/>
          <w:sz w:val="24"/>
          <w:szCs w:val="24"/>
        </w:rPr>
        <w:br/>
      </w:r>
    </w:p>
    <w:tbl>
      <w:tblPr>
        <w:tblW w:w="9360" w:type="dxa"/>
        <w:tblLook w:val="04A0" w:firstRow="1" w:lastRow="0" w:firstColumn="1" w:lastColumn="0" w:noHBand="0" w:noVBand="1"/>
      </w:tblPr>
      <w:tblGrid>
        <w:gridCol w:w="9360"/>
      </w:tblGrid>
      <w:tr w:rsidR="00F23CB3" w:rsidRPr="00BB6B13" w14:paraId="20CBB32B" w14:textId="77777777" w:rsidTr="00654B1E">
        <w:trPr>
          <w:trHeight w:val="285"/>
        </w:trPr>
        <w:tc>
          <w:tcPr>
            <w:tcW w:w="9360" w:type="dxa"/>
            <w:tcBorders>
              <w:top w:val="nil"/>
              <w:left w:val="nil"/>
              <w:bottom w:val="nil"/>
              <w:right w:val="nil"/>
            </w:tcBorders>
            <w:noWrap/>
            <w:hideMark/>
          </w:tcPr>
          <w:p w14:paraId="082F7C99" w14:textId="5D86079C" w:rsidR="00F23CB3" w:rsidRPr="004B5224" w:rsidRDefault="00F23CB3" w:rsidP="00F23CB3">
            <w:pPr>
              <w:pStyle w:val="ListParagraph"/>
              <w:numPr>
                <w:ilvl w:val="0"/>
                <w:numId w:val="6"/>
              </w:numPr>
              <w:spacing w:line="240" w:lineRule="auto"/>
              <w:rPr>
                <w:rFonts w:ascii="Times New Roman" w:eastAsia="Times New Roman" w:hAnsi="Times New Roman" w:cs="Times New Roman"/>
                <w:color w:val="000000"/>
              </w:rPr>
            </w:pPr>
            <w:r w:rsidRPr="004B5224">
              <w:rPr>
                <w:rStyle w:val="cf01"/>
                <w:rFonts w:ascii="Times New Roman" w:hAnsi="Times New Roman" w:cs="Times New Roman"/>
                <w:sz w:val="22"/>
                <w:szCs w:val="22"/>
              </w:rPr>
              <w:t>Con Cưng Phố Đi Bộ Long Khánh: 07 đường Lê Lợi, Phường Xuân An, Thành phố Long Khánh, Tỉnh Đồng Nai</w:t>
            </w:r>
          </w:p>
        </w:tc>
      </w:tr>
      <w:tr w:rsidR="00F23CB3" w:rsidRPr="00BB6B13" w14:paraId="791F36BD" w14:textId="77777777" w:rsidTr="00654B1E">
        <w:trPr>
          <w:trHeight w:val="285"/>
        </w:trPr>
        <w:tc>
          <w:tcPr>
            <w:tcW w:w="9360" w:type="dxa"/>
            <w:tcBorders>
              <w:top w:val="nil"/>
              <w:left w:val="nil"/>
              <w:bottom w:val="nil"/>
              <w:right w:val="nil"/>
            </w:tcBorders>
            <w:noWrap/>
            <w:hideMark/>
          </w:tcPr>
          <w:p w14:paraId="41A52F95" w14:textId="73CA530F" w:rsidR="00F23CB3" w:rsidRPr="004B5224" w:rsidRDefault="00F23CB3" w:rsidP="00F23CB3">
            <w:pPr>
              <w:pStyle w:val="ListParagraph"/>
              <w:numPr>
                <w:ilvl w:val="0"/>
                <w:numId w:val="6"/>
              </w:numPr>
              <w:spacing w:line="240" w:lineRule="auto"/>
              <w:rPr>
                <w:rFonts w:ascii="Times New Roman" w:eastAsia="Times New Roman" w:hAnsi="Times New Roman" w:cs="Times New Roman"/>
                <w:color w:val="000000"/>
              </w:rPr>
            </w:pPr>
            <w:r w:rsidRPr="004B5224">
              <w:rPr>
                <w:rStyle w:val="cf01"/>
                <w:rFonts w:ascii="Times New Roman" w:hAnsi="Times New Roman" w:cs="Times New Roman"/>
                <w:sz w:val="22"/>
                <w:szCs w:val="22"/>
              </w:rPr>
              <w:t xml:space="preserve">Con Cưng 251 Hùng Vương: </w:t>
            </w:r>
            <w:r w:rsidRPr="004B5224">
              <w:rPr>
                <w:rStyle w:val="cf11"/>
                <w:rFonts w:ascii="Times New Roman" w:hAnsi="Times New Roman" w:cs="Times New Roman"/>
                <w:sz w:val="22"/>
                <w:szCs w:val="22"/>
              </w:rPr>
              <w:t>251 Hùng Vương, khối phố An Tây, thị trấn Tân Bình, huyện Hiệp Đức, tỉnh Quảng Nam</w:t>
            </w:r>
          </w:p>
        </w:tc>
      </w:tr>
    </w:tbl>
    <w:p w14:paraId="1F9B4FC8" w14:textId="5D3DDA2B" w:rsidR="00AA4117" w:rsidRPr="009A246A" w:rsidRDefault="00AA4117" w:rsidP="002570CA">
      <w:pPr>
        <w:widowControl w:val="0"/>
        <w:spacing w:before="297" w:line="232" w:lineRule="auto"/>
        <w:ind w:right="769"/>
        <w:jc w:val="both"/>
        <w:rPr>
          <w:rFonts w:ascii="Times New Roman" w:eastAsia="Times New Roman" w:hAnsi="Times New Roman" w:cs="Times New Roman"/>
          <w:color w:val="000000"/>
          <w:sz w:val="24"/>
          <w:szCs w:val="24"/>
        </w:rPr>
      </w:pPr>
    </w:p>
    <w:p w14:paraId="2ADFF9B3" w14:textId="0BA7D47E"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41195E9A" w14:textId="2D76AB50" w:rsidR="00A16AB3" w:rsidRPr="009A246A" w:rsidRDefault="00A16AB3" w:rsidP="00A16AB3">
      <w:pPr>
        <w:widowControl w:val="0"/>
        <w:spacing w:before="391" w:line="266" w:lineRule="auto"/>
        <w:ind w:left="567" w:right="447" w:firstLine="9"/>
        <w:rPr>
          <w:rFonts w:ascii="Times New Roman" w:eastAsia="Times New Roman" w:hAnsi="Times New Roman" w:cs="Times New Roman"/>
          <w:color w:val="000000"/>
          <w:sz w:val="24"/>
          <w:szCs w:val="24"/>
        </w:rPr>
      </w:pPr>
      <w:r w:rsidRPr="00A16AB3">
        <w:rPr>
          <w:rFonts w:ascii="Times New Roman" w:eastAsia="Times New Roman" w:hAnsi="Times New Roman" w:cs="Times New Roman"/>
          <w:color w:val="000000"/>
          <w:sz w:val="24"/>
          <w:szCs w:val="24"/>
        </w:rPr>
        <w:t>Tổ chức cho khách hàng tham gia các chương trình văn hóa, nghệ thuật, giải trí và các sự kiện khác vì mục đích khuyến mại.</w:t>
      </w:r>
    </w:p>
    <w:p w14:paraId="6D7B0A56" w14:textId="750765F9"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0E13A5">
        <w:rPr>
          <w:rFonts w:ascii="Times New Roman" w:eastAsia="Times New Roman" w:hAnsi="Times New Roman" w:cs="Times New Roman"/>
          <w:b/>
          <w:bCs/>
          <w:color w:val="000000"/>
          <w:sz w:val="24"/>
          <w:szCs w:val="24"/>
        </w:rPr>
        <w:t>16</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552C68">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17/08/2025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155E93E3"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CF030A">
        <w:rPr>
          <w:rFonts w:ascii="Times New Roman" w:eastAsia="Times New Roman" w:hAnsi="Times New Roman" w:cs="Times New Roman"/>
          <w:b/>
          <w:bCs/>
          <w:color w:val="000000"/>
          <w:sz w:val="24"/>
          <w:szCs w:val="24"/>
        </w:rPr>
        <w:t>552</w:t>
      </w:r>
      <w:r w:rsidR="00CF030A" w:rsidRPr="00105EEC">
        <w:rPr>
          <w:rFonts w:ascii="Times New Roman" w:eastAsia="Times New Roman" w:hAnsi="Times New Roman" w:cs="Times New Roman"/>
          <w:b/>
          <w:bCs/>
          <w:color w:val="000000"/>
          <w:sz w:val="24"/>
          <w:szCs w:val="24"/>
        </w:rPr>
        <w:t>,</w:t>
      </w:r>
      <w:r w:rsidR="00CF030A">
        <w:rPr>
          <w:rFonts w:ascii="Times New Roman" w:eastAsia="Times New Roman" w:hAnsi="Times New Roman" w:cs="Times New Roman"/>
          <w:b/>
          <w:bCs/>
          <w:color w:val="000000"/>
          <w:sz w:val="24"/>
          <w:szCs w:val="24"/>
        </w:rPr>
        <w:t>422</w:t>
      </w:r>
      <w:r w:rsidR="00CF030A" w:rsidRPr="00105EEC">
        <w:rPr>
          <w:rFonts w:ascii="Times New Roman" w:eastAsia="Times New Roman" w:hAnsi="Times New Roman" w:cs="Times New Roman"/>
          <w:b/>
          <w:bCs/>
          <w:color w:val="000000"/>
          <w:sz w:val="24"/>
          <w:szCs w:val="24"/>
        </w:rPr>
        <w:t xml:space="preserve">,000 </w:t>
      </w:r>
      <w:r w:rsidR="00CF030A" w:rsidRPr="009A246A">
        <w:rPr>
          <w:rFonts w:ascii="Times New Roman" w:eastAsia="Times New Roman" w:hAnsi="Times New Roman" w:cs="Times New Roman"/>
          <w:b/>
          <w:color w:val="000000"/>
          <w:sz w:val="24"/>
          <w:szCs w:val="24"/>
        </w:rPr>
        <w:t xml:space="preserve">VND </w:t>
      </w:r>
      <w:r w:rsidR="00CF030A" w:rsidRPr="009A246A">
        <w:rPr>
          <w:rFonts w:ascii="Times New Roman" w:eastAsia="Times New Roman" w:hAnsi="Times New Roman" w:cs="Times New Roman"/>
          <w:color w:val="000000"/>
          <w:sz w:val="24"/>
          <w:szCs w:val="24"/>
        </w:rPr>
        <w:t>(Bằng chữ</w:t>
      </w:r>
      <w:r w:rsidR="00CF030A">
        <w:rPr>
          <w:rFonts w:ascii="Times New Roman" w:eastAsia="Times New Roman" w:hAnsi="Times New Roman" w:cs="Times New Roman"/>
          <w:color w:val="000000"/>
          <w:sz w:val="24"/>
          <w:szCs w:val="24"/>
        </w:rPr>
        <w:t xml:space="preserve">: </w:t>
      </w:r>
      <w:bookmarkEnd w:id="0"/>
      <w:r w:rsidR="00CF030A">
        <w:rPr>
          <w:rFonts w:ascii="Times New Roman" w:eastAsia="Times New Roman" w:hAnsi="Times New Roman" w:cs="Times New Roman"/>
          <w:color w:val="000000"/>
          <w:sz w:val="24"/>
          <w:szCs w:val="24"/>
        </w:rPr>
        <w:t>Năm trăm năm mươi hai triệu bốn trăm hai mươi hai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lastRenderedPageBreak/>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847A654"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671C123"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F33FF2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60816409"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72241B5"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D5E1610"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41ED83ED"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048CA3CF"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DCD727A"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CD742B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4DADBA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lastRenderedPageBreak/>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5C275F84"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w:t>
            </w:r>
            <w:r w:rsidR="00CF030A">
              <w:rPr>
                <w:rFonts w:ascii="Times New Roman" w:eastAsia="Times New Roman" w:hAnsi="Times New Roman" w:cs="Times New Roman"/>
                <w:b/>
                <w:bCs/>
                <w:color w:val="000000"/>
                <w:sz w:val="20"/>
                <w:szCs w:val="20"/>
              </w:rPr>
              <w:t>552</w:t>
            </w:r>
            <w:r w:rsidRPr="002570CA">
              <w:rPr>
                <w:rFonts w:ascii="Times New Roman" w:eastAsia="Times New Roman" w:hAnsi="Times New Roman" w:cs="Times New Roman"/>
                <w:b/>
                <w:bCs/>
                <w:color w:val="000000"/>
                <w:sz w:val="20"/>
                <w:szCs w:val="20"/>
              </w:rPr>
              <w:t>,</w:t>
            </w:r>
            <w:r w:rsidR="00CF030A">
              <w:rPr>
                <w:rFonts w:ascii="Times New Roman" w:eastAsia="Times New Roman" w:hAnsi="Times New Roman" w:cs="Times New Roman"/>
                <w:b/>
                <w:bCs/>
                <w:color w:val="000000"/>
                <w:sz w:val="20"/>
                <w:szCs w:val="20"/>
              </w:rPr>
              <w:t>42</w:t>
            </w:r>
            <w:r w:rsidRPr="002570CA">
              <w:rPr>
                <w:rFonts w:ascii="Times New Roman" w:eastAsia="Times New Roman" w:hAnsi="Times New Roman" w:cs="Times New Roman"/>
                <w:b/>
                <w:bCs/>
                <w:color w:val="000000"/>
                <w:sz w:val="20"/>
                <w:szCs w:val="20"/>
              </w:rPr>
              <w:t>2,000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688D" w14:textId="77777777" w:rsidR="00C07055" w:rsidRDefault="00C07055">
      <w:pPr>
        <w:spacing w:line="240" w:lineRule="auto"/>
      </w:pPr>
      <w:r>
        <w:separator/>
      </w:r>
    </w:p>
  </w:endnote>
  <w:endnote w:type="continuationSeparator" w:id="0">
    <w:p w14:paraId="506F7EA3" w14:textId="77777777" w:rsidR="00C07055" w:rsidRDefault="00C07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85A4" w14:textId="77777777" w:rsidR="00C07055" w:rsidRDefault="00C07055">
      <w:r>
        <w:separator/>
      </w:r>
    </w:p>
  </w:footnote>
  <w:footnote w:type="continuationSeparator" w:id="0">
    <w:p w14:paraId="2E6676CA" w14:textId="77777777" w:rsidR="00C07055" w:rsidRDefault="00C07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15ED3"/>
    <w:rsid w:val="00053A2F"/>
    <w:rsid w:val="00064750"/>
    <w:rsid w:val="00077ED8"/>
    <w:rsid w:val="000914DD"/>
    <w:rsid w:val="0009445A"/>
    <w:rsid w:val="000C00C4"/>
    <w:rsid w:val="000C733C"/>
    <w:rsid w:val="000C781B"/>
    <w:rsid w:val="000C7F86"/>
    <w:rsid w:val="000D3B16"/>
    <w:rsid w:val="000D75A6"/>
    <w:rsid w:val="000D7DD1"/>
    <w:rsid w:val="000E13A5"/>
    <w:rsid w:val="000F565D"/>
    <w:rsid w:val="00105EEC"/>
    <w:rsid w:val="00137FDC"/>
    <w:rsid w:val="00145724"/>
    <w:rsid w:val="0015159C"/>
    <w:rsid w:val="0017379D"/>
    <w:rsid w:val="00175BC3"/>
    <w:rsid w:val="00187C6B"/>
    <w:rsid w:val="001A1FC7"/>
    <w:rsid w:val="001C326D"/>
    <w:rsid w:val="001D7B6E"/>
    <w:rsid w:val="001F5E0D"/>
    <w:rsid w:val="002240F0"/>
    <w:rsid w:val="00230768"/>
    <w:rsid w:val="0023351C"/>
    <w:rsid w:val="002570CA"/>
    <w:rsid w:val="00266042"/>
    <w:rsid w:val="00272A13"/>
    <w:rsid w:val="00281441"/>
    <w:rsid w:val="00293730"/>
    <w:rsid w:val="002A122C"/>
    <w:rsid w:val="002C5C54"/>
    <w:rsid w:val="002C5F37"/>
    <w:rsid w:val="002D63CF"/>
    <w:rsid w:val="002E1DF6"/>
    <w:rsid w:val="00305568"/>
    <w:rsid w:val="00333CD8"/>
    <w:rsid w:val="0035248C"/>
    <w:rsid w:val="00353434"/>
    <w:rsid w:val="003574CC"/>
    <w:rsid w:val="00361EFF"/>
    <w:rsid w:val="00393AD8"/>
    <w:rsid w:val="003A12B2"/>
    <w:rsid w:val="003A3ED8"/>
    <w:rsid w:val="003A5757"/>
    <w:rsid w:val="003B6AFC"/>
    <w:rsid w:val="003C6F22"/>
    <w:rsid w:val="003F3BCF"/>
    <w:rsid w:val="003F5430"/>
    <w:rsid w:val="004008C5"/>
    <w:rsid w:val="0040277E"/>
    <w:rsid w:val="00425910"/>
    <w:rsid w:val="004260A0"/>
    <w:rsid w:val="0043733F"/>
    <w:rsid w:val="0045343A"/>
    <w:rsid w:val="00471456"/>
    <w:rsid w:val="00483001"/>
    <w:rsid w:val="004835F7"/>
    <w:rsid w:val="004B5224"/>
    <w:rsid w:val="004B70D3"/>
    <w:rsid w:val="004C2C3F"/>
    <w:rsid w:val="004C6065"/>
    <w:rsid w:val="004C717E"/>
    <w:rsid w:val="004D33D2"/>
    <w:rsid w:val="004D684E"/>
    <w:rsid w:val="004D7331"/>
    <w:rsid w:val="004E2A80"/>
    <w:rsid w:val="004F5498"/>
    <w:rsid w:val="005144A9"/>
    <w:rsid w:val="0051584D"/>
    <w:rsid w:val="0052081D"/>
    <w:rsid w:val="00526CCA"/>
    <w:rsid w:val="00552C68"/>
    <w:rsid w:val="00562DDD"/>
    <w:rsid w:val="005738F0"/>
    <w:rsid w:val="005801B5"/>
    <w:rsid w:val="005970F4"/>
    <w:rsid w:val="00597CC0"/>
    <w:rsid w:val="005C75A5"/>
    <w:rsid w:val="005D03B8"/>
    <w:rsid w:val="005F6B61"/>
    <w:rsid w:val="0060091B"/>
    <w:rsid w:val="006016D7"/>
    <w:rsid w:val="00620F38"/>
    <w:rsid w:val="006448B4"/>
    <w:rsid w:val="0067289B"/>
    <w:rsid w:val="006829F7"/>
    <w:rsid w:val="00690C78"/>
    <w:rsid w:val="006A1094"/>
    <w:rsid w:val="006A325A"/>
    <w:rsid w:val="006A47B9"/>
    <w:rsid w:val="006A6EA6"/>
    <w:rsid w:val="006B2874"/>
    <w:rsid w:val="006B6888"/>
    <w:rsid w:val="006C67DE"/>
    <w:rsid w:val="006F4607"/>
    <w:rsid w:val="00727C0F"/>
    <w:rsid w:val="007437F2"/>
    <w:rsid w:val="00746663"/>
    <w:rsid w:val="007541FC"/>
    <w:rsid w:val="007658A3"/>
    <w:rsid w:val="00770EA5"/>
    <w:rsid w:val="00791B3C"/>
    <w:rsid w:val="007A2146"/>
    <w:rsid w:val="007A3FC0"/>
    <w:rsid w:val="007A5EAF"/>
    <w:rsid w:val="007A7C3F"/>
    <w:rsid w:val="007C63F1"/>
    <w:rsid w:val="007D14B3"/>
    <w:rsid w:val="007E51AF"/>
    <w:rsid w:val="00816453"/>
    <w:rsid w:val="0082732D"/>
    <w:rsid w:val="00844E75"/>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575BB"/>
    <w:rsid w:val="00967077"/>
    <w:rsid w:val="00981165"/>
    <w:rsid w:val="00982B04"/>
    <w:rsid w:val="00986C95"/>
    <w:rsid w:val="009A246A"/>
    <w:rsid w:val="009B3693"/>
    <w:rsid w:val="009C5A61"/>
    <w:rsid w:val="009D279A"/>
    <w:rsid w:val="009D75A9"/>
    <w:rsid w:val="009E5415"/>
    <w:rsid w:val="009F3F67"/>
    <w:rsid w:val="00A1145C"/>
    <w:rsid w:val="00A16AB3"/>
    <w:rsid w:val="00A500BC"/>
    <w:rsid w:val="00A67CA7"/>
    <w:rsid w:val="00A85C4A"/>
    <w:rsid w:val="00A94B1E"/>
    <w:rsid w:val="00AA4117"/>
    <w:rsid w:val="00AB0E0C"/>
    <w:rsid w:val="00AC7E5C"/>
    <w:rsid w:val="00AD648F"/>
    <w:rsid w:val="00AE3AB4"/>
    <w:rsid w:val="00AE4D01"/>
    <w:rsid w:val="00AE531D"/>
    <w:rsid w:val="00B116F0"/>
    <w:rsid w:val="00B649B9"/>
    <w:rsid w:val="00B67D24"/>
    <w:rsid w:val="00B84946"/>
    <w:rsid w:val="00B855DD"/>
    <w:rsid w:val="00B96C67"/>
    <w:rsid w:val="00BA2373"/>
    <w:rsid w:val="00BA3D98"/>
    <w:rsid w:val="00BB6B13"/>
    <w:rsid w:val="00BE086B"/>
    <w:rsid w:val="00BE5830"/>
    <w:rsid w:val="00C004B9"/>
    <w:rsid w:val="00C07055"/>
    <w:rsid w:val="00C11B90"/>
    <w:rsid w:val="00C15D7C"/>
    <w:rsid w:val="00C32562"/>
    <w:rsid w:val="00C63B30"/>
    <w:rsid w:val="00C67A3F"/>
    <w:rsid w:val="00C766C2"/>
    <w:rsid w:val="00C77A38"/>
    <w:rsid w:val="00C935C0"/>
    <w:rsid w:val="00CA330C"/>
    <w:rsid w:val="00CC490E"/>
    <w:rsid w:val="00CC66D1"/>
    <w:rsid w:val="00CD469A"/>
    <w:rsid w:val="00CE3A50"/>
    <w:rsid w:val="00CE5F2F"/>
    <w:rsid w:val="00CE6372"/>
    <w:rsid w:val="00CE7F95"/>
    <w:rsid w:val="00CF030A"/>
    <w:rsid w:val="00D1603B"/>
    <w:rsid w:val="00D173C5"/>
    <w:rsid w:val="00D21EC6"/>
    <w:rsid w:val="00D337A3"/>
    <w:rsid w:val="00D36E20"/>
    <w:rsid w:val="00D51FB7"/>
    <w:rsid w:val="00D5272C"/>
    <w:rsid w:val="00D703D3"/>
    <w:rsid w:val="00D96080"/>
    <w:rsid w:val="00D97542"/>
    <w:rsid w:val="00DA41CE"/>
    <w:rsid w:val="00DC4CDE"/>
    <w:rsid w:val="00DE172B"/>
    <w:rsid w:val="00E00A96"/>
    <w:rsid w:val="00E02D9F"/>
    <w:rsid w:val="00E317E6"/>
    <w:rsid w:val="00E4008F"/>
    <w:rsid w:val="00E419AA"/>
    <w:rsid w:val="00E625E6"/>
    <w:rsid w:val="00E70479"/>
    <w:rsid w:val="00E9474A"/>
    <w:rsid w:val="00EA56E3"/>
    <w:rsid w:val="00EB2B6B"/>
    <w:rsid w:val="00EC57A4"/>
    <w:rsid w:val="00EC7DA3"/>
    <w:rsid w:val="00ED3BE7"/>
    <w:rsid w:val="00EE53A5"/>
    <w:rsid w:val="00EF625C"/>
    <w:rsid w:val="00EF7759"/>
    <w:rsid w:val="00F00445"/>
    <w:rsid w:val="00F01707"/>
    <w:rsid w:val="00F0344C"/>
    <w:rsid w:val="00F2089E"/>
    <w:rsid w:val="00F23CB3"/>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4008</Words>
  <Characters>22848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2025-08-11T08:29:00Z</dcterms:created>
  <dcterms:modified xsi:type="dcterms:W3CDTF">2025-08-14T08:10:00Z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