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7552163C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3D2F6D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3D2F6D">
        <w:rPr>
          <w:rFonts w:asciiTheme="majorHAnsi" w:hAnsiTheme="majorHAnsi" w:cstheme="majorHAnsi"/>
          <w:sz w:val="24"/>
          <w:szCs w:val="24"/>
        </w:rPr>
        <w:t xml:space="preserve"> online</w:t>
      </w:r>
      <w:r w:rsidR="007E6D87">
        <w:rPr>
          <w:rFonts w:asciiTheme="majorHAnsi" w:hAnsiTheme="majorHAnsi" w:cstheme="majorHAnsi"/>
          <w:sz w:val="24"/>
          <w:szCs w:val="24"/>
        </w:rPr>
        <w:t xml:space="preserve"> midmonth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5C5F0A2A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3D2F6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FB139F0" w14:textId="0D827BD7" w:rsidR="006C36C9" w:rsidRPr="003D2F6D" w:rsidRDefault="00284A25" w:rsidP="005E02F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3D2F6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ab/>
      </w:r>
      <w:r w:rsidRPr="003D2F6D">
        <w:rPr>
          <w:rFonts w:asciiTheme="majorHAnsi" w:hAnsiTheme="majorHAnsi" w:cstheme="majorHAnsi"/>
          <w:sz w:val="24"/>
          <w:szCs w:val="24"/>
        </w:rPr>
        <w:tab/>
      </w:r>
      <w:r w:rsidR="00F508B7" w:rsidRPr="003D2F6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3D2F6D">
        <w:rPr>
          <w:rFonts w:asciiTheme="majorHAnsi" w:hAnsiTheme="majorHAnsi" w:cstheme="majorHAnsi"/>
          <w:sz w:val="24"/>
          <w:szCs w:val="24"/>
        </w:rPr>
        <w:t xml:space="preserve">  </w:t>
      </w:r>
      <w:r w:rsidR="003D2F6D" w:rsidRPr="003D2F6D">
        <w:rPr>
          <w:rFonts w:asciiTheme="majorHAnsi" w:hAnsiTheme="majorHAnsi" w:cstheme="majorHAnsi"/>
          <w:sz w:val="24"/>
          <w:szCs w:val="24"/>
        </w:rPr>
        <w:t xml:space="preserve"> </w:t>
      </w:r>
      <w:r w:rsidR="007E6D87" w:rsidRPr="007E6D87">
        <w:rPr>
          <w:rFonts w:asciiTheme="majorHAnsi" w:hAnsiTheme="majorHAnsi" w:cstheme="majorHAnsi"/>
          <w:sz w:val="24"/>
          <w:szCs w:val="24"/>
        </w:rPr>
        <w:t>15/09/2025 - 17/09/2025</w:t>
      </w:r>
    </w:p>
    <w:p w14:paraId="3854A581" w14:textId="5D277A50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3D2F6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3D2F6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3D2F6D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7E6D87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4E416BD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proofErr w:type="gram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3D2F6D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7E6D87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2EFB13B1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3D2F6D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7E6D87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79DCFF3A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7E6D87" w:rsidRPr="007E6D87">
        <w:rPr>
          <w:rFonts w:asciiTheme="majorHAnsi" w:hAnsiTheme="majorHAnsi" w:cstheme="majorHAnsi"/>
          <w:sz w:val="24"/>
          <w:szCs w:val="24"/>
        </w:rPr>
        <w:t xml:space="preserve">1.298.409.500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tram chin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bốn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linh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chin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7E6D87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7E6D87">
        <w:rPr>
          <w:rFonts w:asciiTheme="majorHAnsi" w:hAnsiTheme="majorHAnsi" w:cstheme="majorHAnsi"/>
          <w:sz w:val="24"/>
          <w:szCs w:val="24"/>
        </w:rPr>
        <w:t>)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41A137A1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3D2F6D">
        <w:rPr>
          <w:rFonts w:asciiTheme="majorHAnsi" w:hAnsiTheme="majorHAnsi" w:cstheme="majorHAnsi"/>
          <w:sz w:val="24"/>
          <w:szCs w:val="24"/>
        </w:rPr>
        <w:t>8</w:t>
      </w:r>
      <w:r w:rsidR="007E6D87">
        <w:rPr>
          <w:rFonts w:asciiTheme="majorHAnsi" w:hAnsiTheme="majorHAnsi" w:cstheme="majorHAnsi"/>
          <w:sz w:val="24"/>
          <w:szCs w:val="24"/>
        </w:rPr>
        <w:t>7</w:t>
      </w:r>
      <w:r w:rsidR="00032262">
        <w:rPr>
          <w:rFonts w:asciiTheme="majorHAnsi" w:hAnsiTheme="majorHAnsi" w:cstheme="majorHAnsi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4E27" w14:textId="77777777" w:rsidR="00AA0941" w:rsidRDefault="00AA0941">
      <w:r>
        <w:separator/>
      </w:r>
    </w:p>
  </w:endnote>
  <w:endnote w:type="continuationSeparator" w:id="0">
    <w:p w14:paraId="2E5AA1D1" w14:textId="77777777" w:rsidR="00AA0941" w:rsidRDefault="00A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6AC3" w14:textId="77777777" w:rsidR="00AA0941" w:rsidRDefault="00AA0941">
      <w:r>
        <w:separator/>
      </w:r>
    </w:p>
  </w:footnote>
  <w:footnote w:type="continuationSeparator" w:id="0">
    <w:p w14:paraId="6218C1C5" w14:textId="77777777" w:rsidR="00AA0941" w:rsidRDefault="00A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06B73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D2F6D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3D72"/>
    <w:rsid w:val="00537DBA"/>
    <w:rsid w:val="00540E41"/>
    <w:rsid w:val="005426D6"/>
    <w:rsid w:val="00561531"/>
    <w:rsid w:val="00565981"/>
    <w:rsid w:val="005A2106"/>
    <w:rsid w:val="005A7F55"/>
    <w:rsid w:val="005D0586"/>
    <w:rsid w:val="005D3857"/>
    <w:rsid w:val="005E21E3"/>
    <w:rsid w:val="005E35BF"/>
    <w:rsid w:val="00626BB5"/>
    <w:rsid w:val="0065267E"/>
    <w:rsid w:val="0066437E"/>
    <w:rsid w:val="006739D0"/>
    <w:rsid w:val="006954FF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E6D8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11DF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0349F"/>
    <w:rsid w:val="00A2043E"/>
    <w:rsid w:val="00A35D52"/>
    <w:rsid w:val="00A439B4"/>
    <w:rsid w:val="00A46F0D"/>
    <w:rsid w:val="00A474EA"/>
    <w:rsid w:val="00A50579"/>
    <w:rsid w:val="00A55334"/>
    <w:rsid w:val="00A76217"/>
    <w:rsid w:val="00A94743"/>
    <w:rsid w:val="00AA0941"/>
    <w:rsid w:val="00AB6F06"/>
    <w:rsid w:val="00AF4B68"/>
    <w:rsid w:val="00AF631E"/>
    <w:rsid w:val="00B01D35"/>
    <w:rsid w:val="00B34850"/>
    <w:rsid w:val="00B357D7"/>
    <w:rsid w:val="00B552C4"/>
    <w:rsid w:val="00B56C04"/>
    <w:rsid w:val="00B70A02"/>
    <w:rsid w:val="00B81238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398A"/>
    <w:rsid w:val="00176A51"/>
    <w:rsid w:val="001F0C41"/>
    <w:rsid w:val="00211F56"/>
    <w:rsid w:val="00247E6F"/>
    <w:rsid w:val="00281F2D"/>
    <w:rsid w:val="002C0CFF"/>
    <w:rsid w:val="00321B11"/>
    <w:rsid w:val="00351B38"/>
    <w:rsid w:val="00366DE9"/>
    <w:rsid w:val="00383581"/>
    <w:rsid w:val="0039205F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954FF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0349F"/>
    <w:rsid w:val="00A1685D"/>
    <w:rsid w:val="00A2043E"/>
    <w:rsid w:val="00A50579"/>
    <w:rsid w:val="00AF4B68"/>
    <w:rsid w:val="00B81238"/>
    <w:rsid w:val="00B82C20"/>
    <w:rsid w:val="00BF6565"/>
    <w:rsid w:val="00C2457F"/>
    <w:rsid w:val="00C27AC0"/>
    <w:rsid w:val="00C433B6"/>
    <w:rsid w:val="00C825FB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6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11</cp:revision>
  <dcterms:created xsi:type="dcterms:W3CDTF">2025-06-04T07:19:00Z</dcterms:created>
  <dcterms:modified xsi:type="dcterms:W3CDTF">2025-09-10T06:28:00Z</dcterms:modified>
</cp:coreProperties>
</file>