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8EE857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đ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d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5190BAA1" w14:textId="35451536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2E7CC7" w:rsidRPr="002E7CC7">
        <w:rPr>
          <w:rFonts w:asciiTheme="majorHAnsi" w:hAnsiTheme="majorHAnsi" w:cstheme="majorHAnsi"/>
          <w:sz w:val="24"/>
          <w:szCs w:val="24"/>
        </w:rPr>
        <w:t>28/11/2025</w:t>
      </w:r>
      <w:r w:rsidR="002E7CC7">
        <w:rPr>
          <w:rFonts w:asciiTheme="majorHAnsi" w:hAnsiTheme="majorHAnsi" w:cstheme="majorHAnsi"/>
          <w:sz w:val="24"/>
          <w:szCs w:val="24"/>
        </w:rPr>
        <w:t xml:space="preserve"> -</w:t>
      </w:r>
      <w:r w:rsidR="002E7CC7" w:rsidRPr="002E7CC7">
        <w:rPr>
          <w:rFonts w:asciiTheme="majorHAnsi" w:hAnsiTheme="majorHAnsi" w:cstheme="majorHAnsi"/>
          <w:sz w:val="24"/>
          <w:szCs w:val="24"/>
        </w:rPr>
        <w:tab/>
        <w:t>30/11/2025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24D4AB6A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E7CC7">
        <w:rPr>
          <w:rFonts w:asciiTheme="majorHAnsi" w:hAnsiTheme="majorHAnsi" w:cstheme="majorHAnsi"/>
          <w:color w:val="000000"/>
          <w:sz w:val="24"/>
          <w:szCs w:val="24"/>
        </w:rPr>
        <w:t>131-11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E64CECD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E7CC7">
        <w:rPr>
          <w:rFonts w:asciiTheme="majorHAnsi" w:hAnsiTheme="majorHAnsi" w:cstheme="majorHAnsi"/>
          <w:color w:val="000000"/>
          <w:sz w:val="24"/>
          <w:szCs w:val="24"/>
        </w:rPr>
        <w:t>131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47382A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E7CC7">
        <w:rPr>
          <w:rFonts w:asciiTheme="majorHAnsi" w:hAnsiTheme="majorHAnsi" w:cstheme="majorHAnsi"/>
          <w:color w:val="000000"/>
          <w:sz w:val="24"/>
          <w:szCs w:val="24"/>
        </w:rPr>
        <w:t>131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71BA5A4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2E7CC7" w:rsidRPr="002E7CC7">
        <w:rPr>
          <w:rFonts w:ascii="Times New Roman" w:hAnsi="Times New Roman"/>
          <w:sz w:val="24"/>
          <w:szCs w:val="24"/>
        </w:rPr>
        <w:t xml:space="preserve">153.106.000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2E7CC7">
        <w:rPr>
          <w:rFonts w:ascii="Times New Roman" w:hAnsi="Times New Roman"/>
          <w:sz w:val="24"/>
          <w:szCs w:val="24"/>
        </w:rPr>
        <w:t>Một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2E7CC7">
        <w:rPr>
          <w:rFonts w:ascii="Times New Roman" w:hAnsi="Times New Roman"/>
          <w:sz w:val="24"/>
          <w:szCs w:val="24"/>
        </w:rPr>
        <w:t>năm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mươi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ba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triệu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một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2E7CC7">
        <w:rPr>
          <w:rFonts w:ascii="Times New Roman" w:hAnsi="Times New Roman"/>
          <w:sz w:val="24"/>
          <w:szCs w:val="24"/>
        </w:rPr>
        <w:t>linh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sáu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nghìn</w:t>
      </w:r>
      <w:proofErr w:type="spellEnd"/>
      <w:r w:rsidR="002E7C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CC7">
        <w:rPr>
          <w:rFonts w:ascii="Times New Roman" w:hAnsi="Times New Roman"/>
          <w:sz w:val="24"/>
          <w:szCs w:val="24"/>
        </w:rPr>
        <w:t>đồng</w:t>
      </w:r>
      <w:proofErr w:type="spellEnd"/>
      <w:r w:rsidR="002E7CC7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1582B56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s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E7CC7">
        <w:rPr>
          <w:rFonts w:asciiTheme="majorHAnsi" w:hAnsiTheme="majorHAnsi" w:cstheme="majorHAnsi"/>
          <w:sz w:val="24"/>
          <w:szCs w:val="24"/>
        </w:rPr>
        <w:t>131</w:t>
      </w:r>
      <w:r w:rsidR="008A1B54">
        <w:rPr>
          <w:rFonts w:asciiTheme="majorHAnsi" w:hAnsiTheme="majorHAnsi" w:cstheme="majorHAnsi"/>
          <w:sz w:val="24"/>
          <w:szCs w:val="24"/>
        </w:rPr>
        <w:t>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7000"/>
      </w:tblGrid>
      <w:tr w:rsidR="002E7CC7" w:rsidRPr="002E7CC7" w14:paraId="6269907A" w14:textId="77777777" w:rsidTr="002E7CC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1E4F5" w:fill="C1E4F5"/>
            <w:vAlign w:val="center"/>
            <w:hideMark/>
          </w:tcPr>
          <w:p w14:paraId="23A740B1" w14:textId="77777777" w:rsidR="002E7CC7" w:rsidRPr="002E7CC7" w:rsidRDefault="002E7CC7" w:rsidP="002E7CC7">
            <w:pPr>
              <w:jc w:val="center"/>
              <w:rPr>
                <w:rFonts w:ascii="Lexend" w:hAnsi="Lexend" w:cs="Calibri"/>
                <w:b/>
                <w:bCs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b/>
                <w:bCs/>
                <w:color w:val="000000"/>
                <w:sz w:val="22"/>
                <w:szCs w:val="22"/>
              </w:rPr>
              <w:t>ĐỊA CHỈ</w:t>
            </w:r>
          </w:p>
        </w:tc>
      </w:tr>
      <w:tr w:rsidR="002E7CC7" w:rsidRPr="002E7CC7" w14:paraId="3D5D69FE" w14:textId="77777777" w:rsidTr="002E7CC7">
        <w:trPr>
          <w:trHeight w:val="57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1C8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10,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38,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632,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Chánh Thiện,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Mỹ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Chánh,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Phù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Mỹ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2E7CC7" w:rsidRPr="002E7CC7" w14:paraId="052EB3F9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01ED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176 Nguyễn Huệ, Khu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Dương Liễu Tây,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Dương,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Mỹ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2E7CC7" w:rsidRPr="002E7CC7" w14:paraId="01040B7C" w14:textId="77777777" w:rsidTr="002E7CC7">
        <w:trPr>
          <w:trHeight w:val="85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06E2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776,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747A,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Khu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Cây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Chàm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Thạnh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Phước, Thành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Uyên,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2E7CC7" w:rsidRPr="002E7CC7" w14:paraId="16433F53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3F6F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314 Lê Quý Đôn,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Thiện, Thành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Xoài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2E7CC7" w:rsidRPr="002E7CC7" w14:paraId="4F25B777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0265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49-51 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Hòa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Phú, Thành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 Thuột,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2E7CC7" w:rsidRPr="002E7CC7" w14:paraId="0C1B7154" w14:textId="77777777" w:rsidTr="002E7CC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F75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Nhân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Cơ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R'Lấp,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Nông</w:t>
            </w:r>
            <w:proofErr w:type="spellEnd"/>
          </w:p>
        </w:tc>
      </w:tr>
      <w:tr w:rsidR="002E7CC7" w:rsidRPr="002E7CC7" w14:paraId="49928487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66E1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Nôm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2E7CC7" w:rsidRPr="002E7CC7" w14:paraId="4BE4C98C" w14:textId="77777777" w:rsidTr="002E7CC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121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543 Quang Trung,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Chư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Ty,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Cơ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 Lai.</w:t>
            </w:r>
          </w:p>
        </w:tc>
      </w:tr>
      <w:tr w:rsidR="002E7CC7" w:rsidRPr="002E7CC7" w14:paraId="72ED6E51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E04B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Hòa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Phụng B,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Kinh Cùng,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Phụng Hiệp,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2E7CC7" w:rsidRPr="002E7CC7" w14:paraId="446DE604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07CC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63,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An</w:t>
            </w:r>
            <w:proofErr w:type="gram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An,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2E7CC7" w:rsidRPr="002E7CC7" w14:paraId="63A05D60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F72D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203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26,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Khánh 1,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Ninh Sim,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Ninh Hòa,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Khánh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Hòa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2E7CC7" w:rsidRPr="002E7CC7" w14:paraId="02588EB2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886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tháng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2, Khu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Rọc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Chanh,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Hưng,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2E7CC7" w:rsidRPr="002E7CC7" w14:paraId="7B22F311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F71E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Lạc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Đinh Lạc,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Di Linh,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2E7CC7" w:rsidRPr="002E7CC7" w14:paraId="087AB551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ABA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105 Lê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Duẩn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Khe Sanh,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Hướng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Hóa,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Trị</w:t>
            </w:r>
            <w:proofErr w:type="spellEnd"/>
          </w:p>
        </w:tc>
      </w:tr>
      <w:tr w:rsidR="002E7CC7" w:rsidRPr="002E7CC7" w14:paraId="6BE44241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8A30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2E7CC7" w:rsidRPr="002E7CC7" w14:paraId="49665628" w14:textId="77777777" w:rsidTr="002E7CC7">
        <w:trPr>
          <w:trHeight w:val="57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AA41" w14:textId="77777777" w:rsidR="002E7CC7" w:rsidRPr="002E7CC7" w:rsidRDefault="002E7CC7" w:rsidP="002E7CC7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ĐT906,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Khu Phố,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Hựu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Ôn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2E7CC7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</w:t>
            </w:r>
          </w:p>
        </w:tc>
      </w:tr>
    </w:tbl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1EA7" w14:textId="77777777" w:rsidR="00AF79E1" w:rsidRDefault="00AF79E1">
      <w:r>
        <w:separator/>
      </w:r>
    </w:p>
  </w:endnote>
  <w:endnote w:type="continuationSeparator" w:id="0">
    <w:p w14:paraId="4F2BFED6" w14:textId="77777777" w:rsidR="00AF79E1" w:rsidRDefault="00A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AB84" w14:textId="77777777" w:rsidR="00AF79E1" w:rsidRDefault="00AF79E1">
      <w:r>
        <w:separator/>
      </w:r>
    </w:p>
  </w:footnote>
  <w:footnote w:type="continuationSeparator" w:id="0">
    <w:p w14:paraId="6376EADE" w14:textId="77777777" w:rsidR="00AF79E1" w:rsidRDefault="00AF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AF79E1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A13333"/>
    <w:rsid w:val="00A1685D"/>
    <w:rsid w:val="00A32AD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6</cp:revision>
  <dcterms:created xsi:type="dcterms:W3CDTF">2025-09-26T04:01:00Z</dcterms:created>
  <dcterms:modified xsi:type="dcterms:W3CDTF">2025-11-28T11:39:00Z</dcterms:modified>
</cp:coreProperties>
</file>