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B86B" w14:textId="77777777" w:rsidR="00716B6B" w:rsidRPr="00E447A7" w:rsidRDefault="00000000">
      <w:pPr>
        <w:widowControl w:val="0"/>
        <w:spacing w:before="27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THÔNG BÁO THỰC HIỆN </w:t>
      </w: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KHUYẾN MẠI </w:t>
      </w:r>
    </w:p>
    <w:p w14:paraId="1DD3CE0B" w14:textId="3779C8CA" w:rsidR="00716B6B" w:rsidRPr="00E447A7" w:rsidRDefault="00000000">
      <w:pPr>
        <w:widowControl w:val="0"/>
        <w:spacing w:before="297" w:line="232" w:lineRule="auto"/>
        <w:ind w:left="568" w:right="769" w:firstLine="71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447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</w:t>
      </w:r>
      <w:r w:rsidRPr="00E447A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ính</w:t>
      </w:r>
      <w:proofErr w:type="spellEnd"/>
      <w:r w:rsidRPr="00E447A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gửi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Sở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Công Thương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Tỉnh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Thành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phố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Hà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Nội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/Quảng Ninh/Quảng Bình/ Trà Vinh/Kiên Giang/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Vĩnh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Long/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Tiền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Giang/Tây Ninh/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Đà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Nẵng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194486C" w14:textId="77777777" w:rsidR="00716B6B" w:rsidRPr="00E447A7" w:rsidRDefault="00000000">
      <w:pPr>
        <w:widowControl w:val="0"/>
        <w:spacing w:before="240" w:line="240" w:lineRule="auto"/>
        <w:ind w:left="57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thương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CÔNG TY CỔ PHẦN CON CƯNG </w:t>
      </w:r>
    </w:p>
    <w:p w14:paraId="10AB3B91" w14:textId="77777777" w:rsidR="00716B6B" w:rsidRPr="00E447A7" w:rsidRDefault="00000000">
      <w:pPr>
        <w:widowControl w:val="0"/>
        <w:spacing w:before="276" w:line="463" w:lineRule="auto"/>
        <w:ind w:left="1295" w:right="1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66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Nguyễn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Phường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Bến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Nghé,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Quận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</w:t>
      </w:r>
      <w:proofErr w:type="spellStart"/>
      <w:proofErr w:type="gram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TP.Hồ</w:t>
      </w:r>
      <w:proofErr w:type="spellEnd"/>
      <w:proofErr w:type="gram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  </w:t>
      </w:r>
    </w:p>
    <w:p w14:paraId="1418E579" w14:textId="77777777" w:rsidR="00716B6B" w:rsidRPr="00E447A7" w:rsidRDefault="00000000">
      <w:pPr>
        <w:widowControl w:val="0"/>
        <w:spacing w:line="463" w:lineRule="auto"/>
        <w:ind w:left="1295" w:right="1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thoại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028 7300 6609 </w:t>
      </w:r>
    </w:p>
    <w:p w14:paraId="1A28047D" w14:textId="77777777" w:rsidR="00716B6B" w:rsidRPr="00E447A7" w:rsidRDefault="00000000">
      <w:pPr>
        <w:widowControl w:val="0"/>
        <w:spacing w:before="52" w:line="240" w:lineRule="auto"/>
        <w:ind w:left="1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thuế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0313450007 </w:t>
      </w:r>
    </w:p>
    <w:p w14:paraId="0C40E55D" w14:textId="77777777" w:rsidR="00716B6B" w:rsidRPr="00E447A7" w:rsidRDefault="00000000">
      <w:pPr>
        <w:widowControl w:val="0"/>
        <w:spacing w:before="276" w:line="230" w:lineRule="auto"/>
        <w:ind w:left="574" w:right="445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Công ty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30ABCBDF" w14:textId="77777777" w:rsidR="00716B6B" w:rsidRPr="00E447A7" w:rsidRDefault="00000000">
      <w:pPr>
        <w:widowControl w:val="0"/>
        <w:spacing w:before="286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44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1000 STORES_CÙNG TÔ MÀU CÙNG SẺ CHIA</w:t>
      </w:r>
    </w:p>
    <w:p w14:paraId="49B8EE7F" w14:textId="26504D7E" w:rsidR="00716B6B" w:rsidRPr="00E447A7" w:rsidRDefault="00000000" w:rsidP="00A67150">
      <w:pPr>
        <w:widowControl w:val="0"/>
        <w:spacing w:before="297" w:line="232" w:lineRule="auto"/>
        <w:ind w:left="568" w:right="142" w:hang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bàn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vi)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Hà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Nội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/Quảng Ninh/Quảng Bình/ Trà Vinh/Kiên Giang/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Vĩnh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Long/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Tiền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Giang/Tây Ninh/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Đà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Nẵng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A258B9" w14:textId="77777777" w:rsidR="00716B6B" w:rsidRPr="00E447A7" w:rsidRDefault="00000000">
      <w:pPr>
        <w:widowControl w:val="0"/>
        <w:spacing w:before="240" w:line="240" w:lineRule="auto"/>
        <w:ind w:left="575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hoá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vì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đích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D32A233" w14:textId="6D3CABF8" w:rsidR="00716B6B" w:rsidRPr="00E447A7" w:rsidRDefault="00000000">
      <w:pPr>
        <w:widowControl w:val="0"/>
        <w:spacing w:before="130" w:line="240" w:lineRule="auto"/>
        <w:ind w:left="57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06/12/2025 - </w:t>
      </w:r>
      <w:r w:rsidRPr="00E447A7">
        <w:rPr>
          <w:rFonts w:ascii="Times New Roman" w:eastAsia="Times New Roman" w:hAnsi="Times New Roman" w:cs="Times New Roman"/>
          <w:sz w:val="24"/>
          <w:szCs w:val="24"/>
          <w:lang w:val="en-US"/>
        </w:rPr>
        <w:t>22/12/2025</w:t>
      </w:r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>giới</w:t>
      </w:r>
      <w:proofErr w:type="spellEnd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>hạn</w:t>
      </w:r>
      <w:proofErr w:type="spellEnd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>trong</w:t>
      </w:r>
      <w:proofErr w:type="spellEnd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>hai</w:t>
      </w:r>
      <w:proofErr w:type="spellEnd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>ngày</w:t>
      </w:r>
      <w:proofErr w:type="spellEnd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>thứ</w:t>
      </w:r>
      <w:proofErr w:type="spellEnd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7 </w:t>
      </w:r>
      <w:proofErr w:type="spellStart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>chủ</w:t>
      </w:r>
      <w:proofErr w:type="spellEnd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>nhật</w:t>
      </w:r>
      <w:proofErr w:type="spellEnd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hàng </w:t>
      </w:r>
      <w:proofErr w:type="spellStart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>tuần</w:t>
      </w:r>
      <w:proofErr w:type="spellEnd"/>
      <w:r w:rsidR="00AF5CED" w:rsidRPr="00E447A7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10D68CB9" w14:textId="58A7A7A7" w:rsidR="00AF5CED" w:rsidRPr="00E447A7" w:rsidRDefault="00AF5CED">
      <w:pPr>
        <w:widowControl w:val="0"/>
        <w:spacing w:before="130" w:line="240" w:lineRule="auto"/>
        <w:ind w:left="57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Ngày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6/12, 7/12 (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Thứ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7,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Chủ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Nhật)</w:t>
      </w:r>
    </w:p>
    <w:p w14:paraId="137CDB7A" w14:textId="5F9AE3D0" w:rsidR="00AF5CED" w:rsidRPr="00E447A7" w:rsidRDefault="00AF5CED">
      <w:pPr>
        <w:widowControl w:val="0"/>
        <w:spacing w:before="130" w:line="240" w:lineRule="auto"/>
        <w:ind w:left="57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Ngày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13/12, 14/12 (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Thứ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7,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Chủ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Nhật)</w:t>
      </w:r>
    </w:p>
    <w:p w14:paraId="34A05A03" w14:textId="524AE458" w:rsidR="00AF5CED" w:rsidRPr="00E447A7" w:rsidRDefault="00AF5CED">
      <w:pPr>
        <w:widowControl w:val="0"/>
        <w:spacing w:before="130" w:line="240" w:lineRule="auto"/>
        <w:ind w:left="57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Ngày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20/12, 21/12 (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Thứ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7,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Chủ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Nhật)</w:t>
      </w:r>
    </w:p>
    <w:p w14:paraId="39D9D112" w14:textId="2DA37C71" w:rsidR="00AF5CED" w:rsidRPr="00E447A7" w:rsidRDefault="00AF5CED">
      <w:pPr>
        <w:widowControl w:val="0"/>
        <w:spacing w:before="130" w:line="240" w:lineRule="auto"/>
        <w:ind w:left="576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Lưu ý: Chương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chỉ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áp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dụng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vào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các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ngày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cuối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tuần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được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liệt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kê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ở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trên</w:t>
      </w:r>
      <w:proofErr w:type="spellEnd"/>
    </w:p>
    <w:p w14:paraId="0A855513" w14:textId="77777777" w:rsidR="00716B6B" w:rsidRPr="00E447A7" w:rsidRDefault="00000000">
      <w:pPr>
        <w:widowControl w:val="0"/>
        <w:spacing w:before="156" w:line="263" w:lineRule="auto"/>
        <w:ind w:left="567" w:right="445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Tất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cả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toàn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bô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̣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Con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(tã,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sữa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đô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̀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chơi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hóa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mỹ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phẩm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đô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̀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dùng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bé,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thời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trang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phu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̣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kiện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...) (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trừ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cấm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381D6583" w14:textId="77777777" w:rsidR="00716B6B" w:rsidRPr="00E447A7" w:rsidRDefault="00000000">
      <w:pPr>
        <w:widowControl w:val="0"/>
        <w:spacing w:before="135" w:line="24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14:paraId="5ACC217D" w14:textId="77777777" w:rsidR="00716B6B" w:rsidRPr="00E447A7" w:rsidRDefault="00000000">
      <w:pPr>
        <w:widowControl w:val="0"/>
        <w:spacing w:before="200" w:line="264" w:lineRule="auto"/>
        <w:ind w:left="575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Các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danh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670"/>
        <w:gridCol w:w="3172"/>
        <w:gridCol w:w="3486"/>
        <w:gridCol w:w="814"/>
        <w:gridCol w:w="931"/>
        <w:gridCol w:w="1261"/>
      </w:tblGrid>
      <w:tr w:rsidR="00716B6B" w:rsidRPr="00E447A7" w14:paraId="528ABD96" w14:textId="77777777" w:rsidTr="00A67150">
        <w:trPr>
          <w:trHeight w:val="313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E6F5"/>
            <w:vAlign w:val="center"/>
          </w:tcPr>
          <w:p w14:paraId="557008FB" w14:textId="77777777" w:rsidR="00716B6B" w:rsidRPr="00E447A7" w:rsidRDefault="00000000">
            <w:pPr>
              <w:jc w:val="center"/>
              <w:textAlignment w:val="center"/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STT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E6F5"/>
            <w:vAlign w:val="center"/>
          </w:tcPr>
          <w:p w14:paraId="3AFD8A24" w14:textId="77777777" w:rsidR="00716B6B" w:rsidRPr="00E447A7" w:rsidRDefault="00000000">
            <w:pPr>
              <w:jc w:val="center"/>
              <w:textAlignment w:val="center"/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Tên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CTKM</w:t>
            </w: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E6F5"/>
            <w:vAlign w:val="center"/>
          </w:tcPr>
          <w:p w14:paraId="3AC01825" w14:textId="77777777" w:rsidR="00716B6B" w:rsidRPr="00E447A7" w:rsidRDefault="00000000">
            <w:pPr>
              <w:jc w:val="center"/>
              <w:textAlignment w:val="center"/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Tên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quà</w:t>
            </w:r>
            <w:proofErr w:type="spellEnd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tặng</w:t>
            </w:r>
            <w:proofErr w:type="spellEnd"/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E6F5"/>
            <w:vAlign w:val="center"/>
          </w:tcPr>
          <w:p w14:paraId="0FDF25CA" w14:textId="77777777" w:rsidR="00716B6B" w:rsidRPr="00E447A7" w:rsidRDefault="00000000">
            <w:pPr>
              <w:jc w:val="center"/>
              <w:textAlignment w:val="center"/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Số</w:t>
            </w:r>
            <w:proofErr w:type="spellEnd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lượng</w:t>
            </w:r>
            <w:proofErr w:type="spellEnd"/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E6F5"/>
            <w:vAlign w:val="center"/>
          </w:tcPr>
          <w:p w14:paraId="4FA22A4B" w14:textId="77777777" w:rsidR="00716B6B" w:rsidRPr="00E447A7" w:rsidRDefault="00000000">
            <w:pPr>
              <w:jc w:val="center"/>
              <w:textAlignment w:val="center"/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Đơn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giá</w:t>
            </w:r>
            <w:proofErr w:type="spellEnd"/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E6F5"/>
            <w:vAlign w:val="center"/>
          </w:tcPr>
          <w:p w14:paraId="4CD73CA1" w14:textId="77777777" w:rsidR="00716B6B" w:rsidRPr="00E447A7" w:rsidRDefault="00000000">
            <w:pPr>
              <w:jc w:val="center"/>
              <w:textAlignment w:val="center"/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Thành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tiền</w:t>
            </w:r>
            <w:proofErr w:type="spellEnd"/>
          </w:p>
        </w:tc>
      </w:tr>
      <w:tr w:rsidR="00716B6B" w:rsidRPr="00E447A7" w14:paraId="1E1B2DFC" w14:textId="77777777" w:rsidTr="00A67150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34795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24EBB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Tặng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Combo 01 Sticker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tích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điểm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Con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Cưng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/Sticker 1000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cửa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hàng + 01 Bong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bóng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Con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Cưng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(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Áp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dụng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cho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tất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cả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khách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hàng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tham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gia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chương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trình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mỗi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ngày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thứ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7,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chủ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nhật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trong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thời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gian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diễn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ra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chương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trình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D6D5D" w14:textId="3F92C580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01 Sticker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tích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điểm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Con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Cưng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/Sticker 1000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cửa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hàng </w:t>
            </w:r>
            <w:proofErr w:type="spellStart"/>
            <w:r w:rsidR="00954176"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và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01 Bong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bóng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Con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Cưng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F6C29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1,500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78C99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5,000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BA6060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7,500,000 </w:t>
            </w:r>
          </w:p>
        </w:tc>
      </w:tr>
      <w:tr w:rsidR="00716B6B" w:rsidRPr="00E447A7" w14:paraId="443437B4" w14:textId="77777777" w:rsidTr="00A67150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CA6A8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2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A8B8D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Tặng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quà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tự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chọn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Cùng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Tô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Màu,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Cùng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Sẻ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Chia (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Áp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dụng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cho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160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khách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hàng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tham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gia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chương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trình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sớm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nhất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mỗi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ngày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thứ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7,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chủ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nhật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trong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thời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gian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diễn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ra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chương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trình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.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Giới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hạn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10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khách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hàng/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cửa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hàng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trong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danh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sách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lastRenderedPageBreak/>
              <w:t>đính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kèm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.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Không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áp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dụng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đồng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thời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CTKM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tặng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quà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khác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.)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111FD4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lastRenderedPageBreak/>
              <w:t xml:space="preserve">Sticker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tích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điểm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Con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Cưng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/Sticker 1000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cửa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hàng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26A3F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1,000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73358A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3,000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09B88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3,000,000 </w:t>
            </w:r>
          </w:p>
        </w:tc>
      </w:tr>
      <w:tr w:rsidR="00716B6B" w:rsidRPr="00E447A7" w14:paraId="567F8F4B" w14:textId="77777777" w:rsidTr="00A67150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ADC57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1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70613" w14:textId="77777777" w:rsidR="00716B6B" w:rsidRPr="00E447A7" w:rsidRDefault="00716B6B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EB83B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Đồ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chơi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xếp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hình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cho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bé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chủ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đề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động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vật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Nutifood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D2112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30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D3A3B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65,000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766BB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1,950,000 </w:t>
            </w:r>
          </w:p>
        </w:tc>
      </w:tr>
      <w:tr w:rsidR="00716B6B" w:rsidRPr="00E447A7" w14:paraId="565E94A3" w14:textId="77777777" w:rsidTr="00A67150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C6531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9E4C4" w14:textId="77777777" w:rsidR="00716B6B" w:rsidRPr="00E447A7" w:rsidRDefault="00716B6B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22320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Mảnh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ghép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gỗ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động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vật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Nutifood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C507A1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30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3087F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50,000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53FD42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1,500,000 </w:t>
            </w:r>
          </w:p>
        </w:tc>
      </w:tr>
      <w:tr w:rsidR="00632AFE" w:rsidRPr="00E447A7" w14:paraId="4DA1C140" w14:textId="77777777" w:rsidTr="00A67150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808DC" w14:textId="77777777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1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D0D4C" w14:textId="77777777" w:rsidR="00632AFE" w:rsidRPr="00E447A7" w:rsidRDefault="00632AFE" w:rsidP="00632AFE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E8286" w14:textId="77777777" w:rsidR="00632AFE" w:rsidRPr="00E447A7" w:rsidRDefault="00632AFE" w:rsidP="00632AFE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Bình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thuỷ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tinh Oldenburger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7DD2" w14:textId="6DDB197A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          200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6F850" w14:textId="43703203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         80,000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C978" w14:textId="0022E50F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       16,000,000 </w:t>
            </w:r>
          </w:p>
        </w:tc>
      </w:tr>
      <w:tr w:rsidR="00632AFE" w:rsidRPr="00E447A7" w14:paraId="73498EF9" w14:textId="77777777" w:rsidTr="00A67150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481D7B" w14:textId="77777777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lastRenderedPageBreak/>
              <w:t>6</w:t>
            </w:r>
          </w:p>
        </w:tc>
        <w:tc>
          <w:tcPr>
            <w:tcW w:w="153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D5C3E4" w14:textId="77777777" w:rsidR="00632AFE" w:rsidRPr="00E447A7" w:rsidRDefault="00632AFE" w:rsidP="00632AFE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6DAE23" w14:textId="77777777" w:rsidR="00632AFE" w:rsidRPr="00E447A7" w:rsidRDefault="00632AFE" w:rsidP="00632AFE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Túi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vải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không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dệt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Oldenburger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990AF" w14:textId="5E018F4D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          200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3ECCE" w14:textId="38C85843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         50,000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F1FA" w14:textId="7BBE8232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       10,000,000 </w:t>
            </w:r>
          </w:p>
        </w:tc>
      </w:tr>
      <w:tr w:rsidR="00632AFE" w:rsidRPr="00E447A7" w14:paraId="37329761" w14:textId="77777777" w:rsidTr="00632AFE">
        <w:trPr>
          <w:trHeight w:val="30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D2EF32" w14:textId="77777777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7</w:t>
            </w:r>
          </w:p>
        </w:tc>
        <w:tc>
          <w:tcPr>
            <w:tcW w:w="15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714CF7" w14:textId="77777777" w:rsidR="00632AFE" w:rsidRPr="00E447A7" w:rsidRDefault="00632AFE" w:rsidP="00632AFE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7A9A87" w14:textId="77777777" w:rsidR="00632AFE" w:rsidRPr="00E447A7" w:rsidRDefault="00632AFE" w:rsidP="00632AFE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Đồ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chơi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Noel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lên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dây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proofErr w:type="gram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cót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 (</w:t>
            </w:r>
            <w:proofErr w:type="spellStart"/>
            <w:proofErr w:type="gram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mẫu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ngẫu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nhiên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) Oldenburger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AEADF" w14:textId="457066B1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          200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0DC3D" w14:textId="6D75B27F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         35,000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181C0" w14:textId="560B1B77" w:rsidR="00632AFE" w:rsidRPr="00E447A7" w:rsidRDefault="00632AFE" w:rsidP="00632AFE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        7,000,000 </w:t>
            </w:r>
          </w:p>
        </w:tc>
      </w:tr>
      <w:tr w:rsidR="00716B6B" w:rsidRPr="00E447A7" w14:paraId="7C3E5CAB" w14:textId="77777777" w:rsidTr="00632AFE">
        <w:trPr>
          <w:trHeight w:val="30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934AB4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8</w:t>
            </w:r>
          </w:p>
        </w:tc>
        <w:tc>
          <w:tcPr>
            <w:tcW w:w="15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D7B500" w14:textId="77777777" w:rsidR="00716B6B" w:rsidRPr="00E447A7" w:rsidRDefault="00716B6B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2A8F15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Khăn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ướt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Bobby Care 80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miếng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(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không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hương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)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A3EF09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50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17132B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35,000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C9F2D1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1,750,000 </w:t>
            </w:r>
          </w:p>
        </w:tc>
      </w:tr>
      <w:tr w:rsidR="00716B6B" w:rsidRPr="00E447A7" w14:paraId="74C92C5D" w14:textId="77777777" w:rsidTr="00632AFE">
        <w:trPr>
          <w:trHeight w:val="30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A71430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9</w:t>
            </w:r>
          </w:p>
        </w:tc>
        <w:tc>
          <w:tcPr>
            <w:tcW w:w="15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878529" w14:textId="77777777" w:rsidR="00716B6B" w:rsidRPr="00E447A7" w:rsidRDefault="00716B6B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962503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Khăn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ướt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em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bé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Bobby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không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hương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32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miếng</w:t>
            </w:r>
            <w:proofErr w:type="spellEnd"/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8EB735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30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BC5EF1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35,000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4F536C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1,050,000 </w:t>
            </w:r>
          </w:p>
        </w:tc>
      </w:tr>
      <w:tr w:rsidR="00716B6B" w:rsidRPr="00E447A7" w14:paraId="76B411C0" w14:textId="77777777" w:rsidTr="00632AFE">
        <w:trPr>
          <w:trHeight w:val="30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949303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5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E27CA4" w14:textId="77777777" w:rsidR="00716B6B" w:rsidRPr="00E447A7" w:rsidRDefault="00716B6B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A602C1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Bảng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vẽ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tự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xóa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Huggies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09BA91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50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5470C2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80,000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E842E3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4,000,000 </w:t>
            </w:r>
          </w:p>
        </w:tc>
      </w:tr>
      <w:tr w:rsidR="00716B6B" w:rsidRPr="00E447A7" w14:paraId="6C1D7D50" w14:textId="77777777" w:rsidTr="00632AFE">
        <w:trPr>
          <w:trHeight w:val="30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087CB2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5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275348" w14:textId="77777777" w:rsidR="00716B6B" w:rsidRPr="00E447A7" w:rsidRDefault="00716B6B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A09B01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Bộ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gối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vuông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chó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xám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kèm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mền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- Logo Takato (HCK)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C3E871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50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9A816F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130,000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6AAF8A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6,500,000 </w:t>
            </w:r>
          </w:p>
        </w:tc>
      </w:tr>
      <w:tr w:rsidR="00716B6B" w:rsidRPr="00E447A7" w14:paraId="1A91EA53" w14:textId="77777777" w:rsidTr="00632AFE">
        <w:trPr>
          <w:trHeight w:val="30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9B3327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12</w:t>
            </w:r>
          </w:p>
        </w:tc>
        <w:tc>
          <w:tcPr>
            <w:tcW w:w="15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D705D8" w14:textId="77777777" w:rsidR="00716B6B" w:rsidRPr="00E447A7" w:rsidRDefault="00716B6B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95B9CE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Phô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Mai Viên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Xoài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Chanh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Dây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5C 26Gx30 VN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639B6F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50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4CE920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67,000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32CFAC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3,350,000 </w:t>
            </w:r>
          </w:p>
        </w:tc>
      </w:tr>
      <w:tr w:rsidR="00716B6B" w:rsidRPr="00E447A7" w14:paraId="418D3AC1" w14:textId="77777777" w:rsidTr="00632AFE">
        <w:trPr>
          <w:trHeight w:val="30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540620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13</w:t>
            </w:r>
          </w:p>
        </w:tc>
        <w:tc>
          <w:tcPr>
            <w:tcW w:w="15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656C45" w14:textId="77777777" w:rsidR="00716B6B" w:rsidRPr="00E447A7" w:rsidRDefault="00716B6B">
            <w:pPr>
              <w:textAlignment w:val="bottom"/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A8106C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Hyperion_Thạch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Pudding Teddy Party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>Playmore</w:t>
            </w:r>
            <w:proofErr w:type="spellEnd"/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52g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04CBB5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30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E47B1C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22,000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63139E" w14:textId="77777777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color w:val="000000"/>
                <w:lang w:val="en-US" w:eastAsia="zh-CN" w:bidi="ar"/>
              </w:rPr>
              <w:t xml:space="preserve"> 660,000 </w:t>
            </w:r>
          </w:p>
        </w:tc>
      </w:tr>
      <w:tr w:rsidR="00716B6B" w:rsidRPr="00E447A7" w14:paraId="20175999" w14:textId="77777777" w:rsidTr="00632AFE">
        <w:trPr>
          <w:trHeight w:val="30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46E483" w14:textId="77777777" w:rsidR="00716B6B" w:rsidRPr="00E447A7" w:rsidRDefault="00716B6B">
            <w:pPr>
              <w:rPr>
                <w:rFonts w:ascii="Times New Roman" w:eastAsia="Aptos Narrow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530A20" w14:textId="77777777" w:rsidR="00716B6B" w:rsidRPr="00E447A7" w:rsidRDefault="00716B6B">
            <w:pPr>
              <w:textAlignment w:val="bottom"/>
              <w:rPr>
                <w:rFonts w:ascii="Times New Roman" w:eastAsia="Aptos Narrow" w:hAnsi="Times New Roman" w:cs="Times New Roman"/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1ECEE5" w14:textId="77777777" w:rsidR="00716B6B" w:rsidRPr="00E447A7" w:rsidRDefault="00000000">
            <w:pPr>
              <w:textAlignment w:val="bottom"/>
              <w:rPr>
                <w:rFonts w:ascii="Times New Roman" w:eastAsia="Aptos Narrow" w:hAnsi="Times New Roman" w:cs="Times New Roman"/>
                <w:b/>
                <w:bCs/>
                <w:color w:val="000000"/>
              </w:rPr>
            </w:pP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lang w:val="en-US" w:eastAsia="zh-CN" w:bidi="ar"/>
              </w:rPr>
              <w:t>Tổng</w:t>
            </w:r>
            <w:proofErr w:type="spellEnd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lang w:val="en-US" w:eastAsia="zh-CN" w:bidi="ar"/>
              </w:rPr>
              <w:t>giá</w:t>
            </w:r>
            <w:proofErr w:type="spellEnd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lang w:val="en-US" w:eastAsia="zh-CN" w:bidi="ar"/>
              </w:rPr>
              <w:t>trị</w:t>
            </w:r>
            <w:proofErr w:type="spellEnd"/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BA2F61" w14:textId="58469890" w:rsidR="00716B6B" w:rsidRPr="00E447A7" w:rsidRDefault="00632AFE">
            <w:pPr>
              <w:rPr>
                <w:rFonts w:ascii="Times New Roman" w:eastAsia="Aptos Narrow" w:hAnsi="Times New Roman" w:cs="Times New Roman"/>
                <w:b/>
                <w:bCs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</w:rPr>
              <w:t>3,420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B1696A" w14:textId="77777777" w:rsidR="00716B6B" w:rsidRPr="00E447A7" w:rsidRDefault="00716B6B">
            <w:pPr>
              <w:rPr>
                <w:rFonts w:ascii="Times New Roman" w:eastAsia="Aptos Narrow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9F0A45" w14:textId="4DB75652" w:rsidR="00716B6B" w:rsidRPr="00E447A7" w:rsidRDefault="00000000">
            <w:pPr>
              <w:jc w:val="right"/>
              <w:textAlignment w:val="bottom"/>
              <w:rPr>
                <w:rFonts w:ascii="Times New Roman" w:eastAsia="Aptos Narrow" w:hAnsi="Times New Roman" w:cs="Times New Roman"/>
                <w:b/>
                <w:bCs/>
                <w:color w:val="000000"/>
              </w:rPr>
            </w:pPr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lang w:val="en-US" w:eastAsia="zh-CN" w:bidi="ar"/>
              </w:rPr>
              <w:t xml:space="preserve"> </w:t>
            </w:r>
            <w:r w:rsidR="00632AFE"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lang w:val="en-US" w:eastAsia="zh-CN" w:bidi="ar"/>
              </w:rPr>
              <w:t>64</w:t>
            </w:r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lang w:val="en-US" w:eastAsia="zh-CN" w:bidi="ar"/>
              </w:rPr>
              <w:t>,</w:t>
            </w:r>
            <w:r w:rsidR="00632AFE"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lang w:val="en-US" w:eastAsia="zh-CN" w:bidi="ar"/>
              </w:rPr>
              <w:t>2</w:t>
            </w:r>
            <w:r w:rsidRPr="00E447A7">
              <w:rPr>
                <w:rFonts w:ascii="Times New Roman" w:eastAsia="Aptos Narrow" w:hAnsi="Times New Roman" w:cs="Times New Roman"/>
                <w:b/>
                <w:bCs/>
                <w:color w:val="000000"/>
                <w:lang w:val="en-US" w:eastAsia="zh-CN" w:bidi="ar"/>
              </w:rPr>
              <w:t xml:space="preserve">60,000 </w:t>
            </w:r>
          </w:p>
        </w:tc>
      </w:tr>
    </w:tbl>
    <w:p w14:paraId="20FA6D10" w14:textId="032A17EF" w:rsidR="00716B6B" w:rsidRPr="00E447A7" w:rsidRDefault="00000000">
      <w:pPr>
        <w:widowControl w:val="0"/>
        <w:spacing w:before="156" w:line="264" w:lineRule="auto"/>
        <w:ind w:left="575" w:right="44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Tổng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cộng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64,2</w:t>
      </w: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60,000 VNĐ (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Bằng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chữ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: </w:t>
      </w:r>
      <w:proofErr w:type="spellStart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Sáu</w:t>
      </w:r>
      <w:proofErr w:type="spellEnd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mươi</w:t>
      </w:r>
      <w:proofErr w:type="spellEnd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bốn</w:t>
      </w:r>
      <w:proofErr w:type="spellEnd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triệu</w:t>
      </w:r>
      <w:proofErr w:type="spellEnd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hai</w:t>
      </w:r>
      <w:proofErr w:type="spellEnd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trăm</w:t>
      </w:r>
      <w:proofErr w:type="spellEnd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sáu</w:t>
      </w:r>
      <w:proofErr w:type="spellEnd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mươi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nghìn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đồng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)</w:t>
      </w:r>
    </w:p>
    <w:p w14:paraId="701A2C0D" w14:textId="77777777" w:rsidR="00716B6B" w:rsidRPr="00E447A7" w:rsidRDefault="00000000">
      <w:pPr>
        <w:widowControl w:val="0"/>
        <w:spacing w:before="156" w:line="264" w:lineRule="auto"/>
        <w:ind w:left="575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tượng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hưởng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Con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danh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đính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áp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chi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tiết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 </w:t>
      </w:r>
    </w:p>
    <w:p w14:paraId="3718F512" w14:textId="77777777" w:rsidR="00716B6B" w:rsidRPr="00E447A7" w:rsidRDefault="00000000">
      <w:pPr>
        <w:widowControl w:val="0"/>
        <w:spacing w:before="156" w:line="264" w:lineRule="auto"/>
        <w:ind w:left="575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cấu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Theo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chi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tiết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10)</w:t>
      </w:r>
    </w:p>
    <w:p w14:paraId="537E813D" w14:textId="6A9782EB" w:rsidR="00716B6B" w:rsidRPr="00E447A7" w:rsidRDefault="00000000">
      <w:pPr>
        <w:widowControl w:val="0"/>
        <w:spacing w:before="156" w:line="264" w:lineRule="auto"/>
        <w:ind w:left="575" w:right="44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64,260,000 VNĐ (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Bằng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chữ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Sáu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mươi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bốn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triệu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hai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trăm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sáu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mươi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nghìn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đồng</w:t>
      </w:r>
      <w:proofErr w:type="spellEnd"/>
      <w:r w:rsidR="00632AFE"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)</w:t>
      </w:r>
    </w:p>
    <w:p w14:paraId="3730E8DD" w14:textId="77777777" w:rsidR="00716B6B" w:rsidRPr="00E447A7" w:rsidRDefault="00000000">
      <w:pPr>
        <w:widowControl w:val="0"/>
        <w:spacing w:before="135" w:line="24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chi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tiết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14:paraId="6A6228BF" w14:textId="77777777" w:rsidR="00716B6B" w:rsidRPr="00E447A7" w:rsidRDefault="00000000">
      <w:pPr>
        <w:widowControl w:val="0"/>
        <w:spacing w:before="161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10.1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Thời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gian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thực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hiện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2C205A5" w14:textId="77777777" w:rsidR="00716B6B" w:rsidRPr="00E447A7" w:rsidRDefault="00000000">
      <w:pPr>
        <w:widowControl w:val="0"/>
        <w:spacing w:before="286" w:line="240" w:lineRule="auto"/>
        <w:ind w:left="58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Vào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ngày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thứ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7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Chủ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nhật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rong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khuyến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mại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̀ </w:t>
      </w:r>
      <w:r w:rsidRPr="00E447A7">
        <w:rPr>
          <w:rFonts w:ascii="Times New Roman" w:eastAsia="Times New Roman" w:hAnsi="Times New Roman" w:cs="Times New Roman"/>
          <w:sz w:val="24"/>
          <w:szCs w:val="24"/>
        </w:rPr>
        <w:t xml:space="preserve">06/12/2025 - </w:t>
      </w:r>
      <w:r w:rsidRPr="00E447A7">
        <w:rPr>
          <w:rFonts w:ascii="Times New Roman" w:eastAsia="Times New Roman" w:hAnsi="Times New Roman" w:cs="Times New Roman"/>
          <w:sz w:val="24"/>
          <w:szCs w:val="24"/>
          <w:lang w:val="en-US"/>
        </w:rPr>
        <w:t>22/12/</w:t>
      </w:r>
      <w:proofErr w:type="gramStart"/>
      <w:r w:rsidRPr="00E447A7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proofErr w:type="gram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Con </w:t>
      </w:r>
      <w:proofErr w:type="spellStart"/>
      <w:proofErr w:type="gram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spellStart"/>
      <w:proofErr w:type="gram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danh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đính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đều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1000 STORES_</w:t>
      </w:r>
      <w:r w:rsidRPr="00E44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CÙNG TÔ MÀU CÙNG SẺ CHIA</w:t>
      </w: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10.2</w:t>
      </w:r>
      <w:r w:rsidRPr="00E447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5F781C" w14:textId="77777777" w:rsidR="00716B6B" w:rsidRPr="00E447A7" w:rsidRDefault="00000000">
      <w:pPr>
        <w:widowControl w:val="0"/>
        <w:spacing w:before="214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10.2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Cách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thức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tham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gia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818CA0D" w14:textId="77777777" w:rsidR="00716B6B" w:rsidRPr="00E447A7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Bước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1: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Vào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ngày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thứ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7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Chủ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nhật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rong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khuyến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mại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̀ </w:t>
      </w:r>
      <w:r w:rsidRPr="00E447A7">
        <w:rPr>
          <w:rFonts w:ascii="Times New Roman" w:eastAsia="Times New Roman" w:hAnsi="Times New Roman" w:cs="Times New Roman"/>
          <w:sz w:val="24"/>
          <w:szCs w:val="24"/>
        </w:rPr>
        <w:t xml:space="preserve">06/12/2025 - </w:t>
      </w:r>
      <w:r w:rsidRPr="00E447A7">
        <w:rPr>
          <w:rFonts w:ascii="Times New Roman" w:eastAsia="Times New Roman" w:hAnsi="Times New Roman" w:cs="Times New Roman"/>
          <w:sz w:val="24"/>
          <w:szCs w:val="24"/>
          <w:lang w:val="en-US"/>
        </w:rPr>
        <w:t>22/12/</w:t>
      </w:r>
      <w:proofErr w:type="gramStart"/>
      <w:r w:rsidRPr="00E447A7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proofErr w:type="gram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Con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danh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đính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không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yêu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cầu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phát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đơn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hàng,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nhân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viên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sẽ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tư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vấn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về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chương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trình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phần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quà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38B7AFE0" w14:textId="77777777" w:rsidR="00954176" w:rsidRPr="00E447A7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+ 160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đầu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tiên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có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bé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đến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danh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đính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kèm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hoàn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thiện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bức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vẽ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ngôi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sớm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nhất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sẽ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nhận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4DBF5E9F" w14:textId="77777777" w:rsidR="00954176" w:rsidRPr="00E447A7" w:rsidRDefault="00000000" w:rsidP="00954176">
      <w:pPr>
        <w:pStyle w:val="ListParagraph"/>
        <w:widowControl w:val="0"/>
        <w:numPr>
          <w:ilvl w:val="0"/>
          <w:numId w:val="3"/>
        </w:numPr>
        <w:spacing w:before="267" w:line="265" w:lineRule="auto"/>
        <w:ind w:right="442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01 Combo Sticker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tích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điểm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/Sticker 1000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01 bong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bóng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52DB80F0" w14:textId="06AE2DF0" w:rsidR="00716B6B" w:rsidRPr="00E447A7" w:rsidRDefault="00954176" w:rsidP="00954176">
      <w:pPr>
        <w:pStyle w:val="ListParagraph"/>
        <w:widowControl w:val="0"/>
        <w:numPr>
          <w:ilvl w:val="0"/>
          <w:numId w:val="3"/>
        </w:numPr>
        <w:spacing w:before="267" w:line="265" w:lineRule="auto"/>
        <w:ind w:right="442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được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tự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chọn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01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quà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tặng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danh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quà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tặng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tại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mục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6.2 TBKM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tồn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thực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tế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hàng.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Giới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hạn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tối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10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trên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mỗi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danh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đính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kèm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0730FF5" w14:textId="49476CC0" w:rsidR="00716B6B" w:rsidRPr="00E447A7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+ Các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tiếp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có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bé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đến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danh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đính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kèm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hoàn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thiện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bức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vẽ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ngôi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trên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thẻ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vẽ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của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chương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trình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sẽ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nhận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01 Combo Sticker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tích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điểm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/Sticker 1000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01 bong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bóng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</w:p>
    <w:p w14:paraId="1A116BFB" w14:textId="77777777" w:rsidR="00716B6B" w:rsidRPr="00E447A7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Bước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2: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é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hoàn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thiện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bức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vẽ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ngôi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nhà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trên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thẻ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vẽ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tranh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của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chương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F566350" w14:textId="77777777" w:rsidR="00716B6B" w:rsidRPr="00E447A7" w:rsidRDefault="00000000">
      <w:pPr>
        <w:widowControl w:val="0"/>
        <w:spacing w:before="267" w:line="265" w:lineRule="auto"/>
        <w:ind w:left="578" w:right="442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3E9BCE9" wp14:editId="690129E2">
            <wp:extent cx="2616200" cy="1962150"/>
            <wp:effectExtent l="0" t="0" r="0" b="0"/>
            <wp:docPr id="930690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90173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10EDF" w14:textId="77777777" w:rsidR="00716B6B" w:rsidRPr="00E447A7" w:rsidRDefault="00000000">
      <w:pPr>
        <w:widowControl w:val="0"/>
        <w:spacing w:before="267" w:line="265" w:lineRule="auto"/>
        <w:ind w:left="578" w:right="442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Hình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1. Minh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họa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thẻ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vẽ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tranh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của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chương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trình</w:t>
      </w:r>
      <w:proofErr w:type="spellEnd"/>
    </w:p>
    <w:p w14:paraId="3D4A6F94" w14:textId="77777777" w:rsidR="00716B6B" w:rsidRPr="00E447A7" w:rsidRDefault="00000000">
      <w:pPr>
        <w:widowControl w:val="0"/>
        <w:spacing w:before="267" w:line="265" w:lineRule="auto"/>
        <w:ind w:left="578" w:right="442" w:hanging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 wp14:anchorId="6CB0AB06" wp14:editId="509E02E9">
            <wp:extent cx="2650490" cy="1957070"/>
            <wp:effectExtent l="0" t="0" r="0" b="5080"/>
            <wp:docPr id="383618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1819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817" cy="196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7A29" w14:textId="77777777" w:rsidR="00716B6B" w:rsidRPr="00E447A7" w:rsidRDefault="00000000">
      <w:pPr>
        <w:widowControl w:val="0"/>
        <w:spacing w:before="267" w:line="265" w:lineRule="auto"/>
        <w:ind w:left="578" w:right="442" w:hanging="2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Hình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2. Minh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họa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hình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ảnh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bức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vẽ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đã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hoàn</w:t>
      </w:r>
      <w:proofErr w:type="spellEnd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thiện</w:t>
      </w:r>
      <w:proofErr w:type="spellEnd"/>
    </w:p>
    <w:p w14:paraId="24E0FDC2" w14:textId="77777777" w:rsidR="00716B6B" w:rsidRPr="00E447A7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447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Pr="00E447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Bước</w:t>
      </w:r>
      <w:proofErr w:type="spellEnd"/>
      <w:r w:rsidRPr="00E447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3: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Bé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hoàn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thiện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bức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</w:rPr>
        <w:t>vẽ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ý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thích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của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bé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Khách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hàng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là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bô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́ mẹ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chụp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ảnh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bé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cùng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với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bức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vẽ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tại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đăng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ảnh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lên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Facebook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hoặc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Tiktok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cá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nhân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của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mẹ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ở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chế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độ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công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khai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Nhân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viên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kiểm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chụp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hình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màn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hình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thiết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bị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chứng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hoạt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động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cung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cấp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số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điện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thoại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nhân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viên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nhân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viên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quà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tặng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</w:p>
    <w:p w14:paraId="1D71CA1E" w14:textId="77777777" w:rsidR="00716B6B" w:rsidRPr="00E447A7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44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- </w:t>
      </w:r>
      <w:proofErr w:type="spellStart"/>
      <w:r w:rsidRPr="00E44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Bước</w:t>
      </w:r>
      <w:proofErr w:type="spellEnd"/>
      <w:r w:rsidRPr="00E44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4:</w:t>
      </w: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hân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trao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phần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quà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tồn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kho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thực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tế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hàng:</w:t>
      </w:r>
    </w:p>
    <w:p w14:paraId="40F9B5C8" w14:textId="77777777" w:rsidR="00954176" w:rsidRPr="00E447A7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+ </w:t>
      </w:r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160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khách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đầu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tiên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có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bé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đến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Con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theo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danh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sách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đính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kèm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hoàn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thiện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bức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vẽ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ngôi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nhà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sớm</w:t>
      </w:r>
      <w:proofErr w:type="spellEnd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nhất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06B1CFC4" w14:textId="77777777" w:rsidR="00954176" w:rsidRPr="00E447A7" w:rsidRDefault="00954176" w:rsidP="00954176">
      <w:pPr>
        <w:pStyle w:val="ListParagraph"/>
        <w:widowControl w:val="0"/>
        <w:numPr>
          <w:ilvl w:val="0"/>
          <w:numId w:val="3"/>
        </w:numPr>
        <w:spacing w:before="267" w:line="265" w:lineRule="auto"/>
        <w:ind w:right="442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01 Combo Sticker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tích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điểm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/Sticker 1000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01 bong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bóng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6E7C5663" w14:textId="77777777" w:rsidR="00954176" w:rsidRPr="00E447A7" w:rsidRDefault="00954176" w:rsidP="00954176">
      <w:pPr>
        <w:pStyle w:val="ListParagraph"/>
        <w:widowControl w:val="0"/>
        <w:numPr>
          <w:ilvl w:val="0"/>
          <w:numId w:val="3"/>
        </w:numPr>
        <w:spacing w:before="267" w:line="265" w:lineRule="auto"/>
        <w:ind w:right="442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được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tự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chọn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01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quà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tặng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danh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quà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tặng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tại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mục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6.2 TBKM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tồn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thực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tế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hàng.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Giới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hạn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tối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10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trên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mỗi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danh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đính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kèm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18017EEB" w14:textId="7ACBF949" w:rsidR="00716B6B" w:rsidRPr="00E447A7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+ Các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khách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tiếp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có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bé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đến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theo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danh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sách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đính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kèm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sẽ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nhận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01 Combo Sticker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tích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điểm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/Sticker 1000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cửa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hàng </w:t>
      </w:r>
      <w:proofErr w:type="spellStart"/>
      <w:r w:rsidR="00954176"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và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01 bong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bóng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Con </w:t>
      </w:r>
      <w:proofErr w:type="spellStart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Cưng</w:t>
      </w:r>
      <w:proofErr w:type="spellEnd"/>
      <w:r w:rsidRPr="00E447A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02510DB3" w14:textId="77777777" w:rsidR="00716B6B" w:rsidRPr="00E447A7" w:rsidRDefault="00716B6B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3FC319F" w14:textId="77777777" w:rsidR="00716B6B" w:rsidRPr="00E447A7" w:rsidRDefault="00000000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Điều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kiện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chung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của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sản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phẩm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quà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tặng</w:t>
      </w:r>
      <w:proofErr w:type="spellEnd"/>
      <w:r w:rsidRPr="00E44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7D085728" w14:textId="77777777" w:rsidR="00716B6B" w:rsidRPr="00E447A7" w:rsidRDefault="0000000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Quà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tặng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không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được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chuyển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nhượng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&amp;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quy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đổi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thành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tiền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mặt</w:t>
      </w:r>
      <w:proofErr w:type="spellEnd"/>
    </w:p>
    <w:p w14:paraId="440494CA" w14:textId="77777777" w:rsidR="00716B6B" w:rsidRPr="00E447A7" w:rsidRDefault="0000000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Mỗi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số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điện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thoại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đăng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ký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tương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ứng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01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quà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tặng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trong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suốt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thời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gian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diễn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ra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chương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ECCDB93" w14:textId="77777777" w:rsidR="00716B6B" w:rsidRPr="00E447A7" w:rsidRDefault="00000000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áp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CTKM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quà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tặng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đang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diễn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cùng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410A093" w14:textId="77777777" w:rsidR="00716B6B" w:rsidRPr="00E447A7" w:rsidRDefault="00000000">
      <w:pPr>
        <w:numPr>
          <w:ilvl w:val="0"/>
          <w:numId w:val="2"/>
        </w:numP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cuối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cùng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đê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̉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hàng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dự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chương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23h59 </w:t>
      </w:r>
      <w:proofErr w:type="spellStart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4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22/12/2025</w:t>
      </w:r>
    </w:p>
    <w:p w14:paraId="32DB26AE" w14:textId="77777777" w:rsidR="00716B6B" w:rsidRPr="00E447A7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11.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từng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(Trường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nhiều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phối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thỏa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thỏa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)):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C67B535" w14:textId="77777777" w:rsidR="00716B6B" w:rsidRPr="00E447A7" w:rsidRDefault="00000000">
      <w:pPr>
        <w:widowControl w:val="0"/>
        <w:spacing w:before="132" w:line="264" w:lineRule="auto"/>
        <w:ind w:left="573" w:right="443"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Công ty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E447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9F7D7B" w14:textId="77777777" w:rsidR="00716B6B" w:rsidRPr="00E447A7" w:rsidRDefault="00716B6B">
      <w:pPr>
        <w:widowControl w:val="0"/>
        <w:spacing w:before="132" w:line="264" w:lineRule="auto"/>
        <w:ind w:left="573" w:right="443"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94B075" w14:textId="77777777" w:rsidR="00A67150" w:rsidRPr="00E447A7" w:rsidRDefault="00A67150" w:rsidP="00A6715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B22CF3" w14:textId="02734930" w:rsidR="00A67150" w:rsidRPr="00E447A7" w:rsidRDefault="00A67150" w:rsidP="00A67150">
      <w:pPr>
        <w:tabs>
          <w:tab w:val="left" w:pos="238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4521733" w14:textId="35D9D6BE" w:rsidR="00A67150" w:rsidRPr="00E447A7" w:rsidRDefault="00A67150" w:rsidP="00A67150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47A7">
        <w:rPr>
          <w:rFonts w:ascii="Times New Roman" w:eastAsia="Times New Roman" w:hAnsi="Times New Roman" w:cs="Times New Roman"/>
          <w:b/>
          <w:bCs/>
          <w:sz w:val="24"/>
          <w:szCs w:val="24"/>
        </w:rPr>
        <w:t>DANH SÁCH CỬA HÀNG ÁP DỤNG KHUYẾN MẠI</w:t>
      </w:r>
    </w:p>
    <w:p w14:paraId="5D44A3E8" w14:textId="77777777" w:rsidR="00A67150" w:rsidRPr="00E447A7" w:rsidRDefault="00A67150" w:rsidP="00A67150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7271" w:type="dxa"/>
        <w:tblLook w:val="04A0" w:firstRow="1" w:lastRow="0" w:firstColumn="1" w:lastColumn="0" w:noHBand="0" w:noVBand="1"/>
      </w:tblPr>
      <w:tblGrid>
        <w:gridCol w:w="7271"/>
      </w:tblGrid>
      <w:tr w:rsidR="00A67150" w:rsidRPr="00E447A7" w14:paraId="1835E4B6" w14:textId="77777777" w:rsidTr="00A67150">
        <w:trPr>
          <w:trHeight w:val="300"/>
        </w:trPr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0C12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01Sh18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Vinhomes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Ocean Park,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Xã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Đa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Tốn,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Huyện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Gia Lâm, Thành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Phố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Hà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Nội</w:t>
            </w:r>
            <w:proofErr w:type="spellEnd"/>
          </w:p>
        </w:tc>
      </w:tr>
      <w:tr w:rsidR="00A67150" w:rsidRPr="00E447A7" w14:paraId="4E9C5964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C93F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18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Phố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Giếng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Đồn,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phường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Trần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Hưng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Đạo, Thành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phố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Hạ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Long, Quảng Ninh</w:t>
            </w:r>
          </w:p>
        </w:tc>
      </w:tr>
      <w:tr w:rsidR="00A67150" w:rsidRPr="00E447A7" w14:paraId="24ACD3CF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338F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309 - 311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Trần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Hưng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Đạo,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Phường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Nam Lý, Thành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phố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Đồng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Hới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Tỉnh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Quảng Bình</w:t>
            </w:r>
          </w:p>
        </w:tc>
      </w:tr>
      <w:tr w:rsidR="00A67150" w:rsidRPr="00E447A7" w14:paraId="4D51C226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8465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Số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409 Nguyễn Văn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Cừ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Phường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Ngọc Lâm,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Quận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Long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Biên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, Thành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Phố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Hà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Nội</w:t>
            </w:r>
            <w:proofErr w:type="spellEnd"/>
          </w:p>
        </w:tc>
      </w:tr>
      <w:tr w:rsidR="00A67150" w:rsidRPr="00E447A7" w14:paraId="02F4C557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1321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62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Điện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Biên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Phủ,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Khóm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3,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Phường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2, Thành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phố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Trà Vinh,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Tỉnh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Trà Vinh</w:t>
            </w:r>
          </w:p>
        </w:tc>
      </w:tr>
      <w:tr w:rsidR="00A67150" w:rsidRPr="00E447A7" w14:paraId="4617A453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40BF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283 Nguyễn </w:t>
            </w:r>
            <w:proofErr w:type="gram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An</w:t>
            </w:r>
            <w:proofErr w:type="gram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Ninh, P.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Dĩ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An, Thành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phố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Dĩ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An, Bình Dương</w:t>
            </w:r>
          </w:p>
        </w:tc>
      </w:tr>
      <w:tr w:rsidR="00A67150" w:rsidRPr="00E447A7" w14:paraId="0B2FB036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D2D3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Đường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30/4, Khu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phố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1,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Phường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Dương Đông, Thành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phố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Phú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Quốc,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Tỉnh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Kiên Giang</w:t>
            </w:r>
          </w:p>
        </w:tc>
      </w:tr>
      <w:tr w:rsidR="00A67150" w:rsidRPr="00E447A7" w14:paraId="57D05A7B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CD00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16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Đường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Tỉnh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lộ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825,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Ấp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Bình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Tả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2,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Xã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Đức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Hòa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Hạ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Huyện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Đức Hòa,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Tỉnh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Long An.</w:t>
            </w:r>
          </w:p>
        </w:tc>
      </w:tr>
      <w:tr w:rsidR="00A67150" w:rsidRPr="00E447A7" w14:paraId="07058389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0695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364-365 Nguyễn Huệ, KP 3, P.2, TX.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Gò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Công,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Tiền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Giang</w:t>
            </w:r>
          </w:p>
        </w:tc>
      </w:tr>
      <w:tr w:rsidR="00A67150" w:rsidRPr="00E447A7" w14:paraId="353520BC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C68E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518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Cách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Mạng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Tháng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Tám, P3, Tây Ninh</w:t>
            </w:r>
          </w:p>
        </w:tc>
      </w:tr>
      <w:tr w:rsidR="00A67150" w:rsidRPr="00E447A7" w14:paraId="6DC36EF0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9C8B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13 Yersin,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Tổ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15, Khu 01, P.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Phú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Cường, TP.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Thủ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Dầu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1,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Tỉnh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Bình Dương</w:t>
            </w:r>
          </w:p>
        </w:tc>
      </w:tr>
      <w:tr w:rsidR="00A67150" w:rsidRPr="00E447A7" w14:paraId="47B5B868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E359" w14:textId="77777777" w:rsidR="00A67150" w:rsidRPr="00E447A7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318-320 Nguyễn Trung </w:t>
            </w:r>
            <w:proofErr w:type="gram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Trực ,</w:t>
            </w:r>
            <w:proofErr w:type="gram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phường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Vĩnh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Lạc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tp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Rạch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Giá, </w:t>
            </w:r>
            <w:proofErr w:type="spellStart"/>
            <w:proofErr w:type="gram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Tỉnh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 Kiên</w:t>
            </w:r>
            <w:proofErr w:type="gram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Giang</w:t>
            </w:r>
          </w:p>
        </w:tc>
      </w:tr>
      <w:tr w:rsidR="00A67150" w:rsidRPr="00A67150" w14:paraId="68FA4D24" w14:textId="77777777" w:rsidTr="00A67150">
        <w:trPr>
          <w:trHeight w:val="300"/>
        </w:trPr>
        <w:tc>
          <w:tcPr>
            <w:tcW w:w="7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36FD" w14:textId="77777777" w:rsidR="00A67150" w:rsidRPr="00A67150" w:rsidRDefault="00A67150" w:rsidP="00A67150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81-83 Nguyễn Văn Linh,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Phường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Phước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Ninh, </w:t>
            </w:r>
            <w:proofErr w:type="spellStart"/>
            <w:proofErr w:type="gram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Q.Hải</w:t>
            </w:r>
            <w:proofErr w:type="spellEnd"/>
            <w:proofErr w:type="gram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Châu, TP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Đà</w:t>
            </w:r>
            <w:proofErr w:type="spellEnd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 </w:t>
            </w:r>
            <w:proofErr w:type="spellStart"/>
            <w:r w:rsidRPr="00E447A7">
              <w:rPr>
                <w:rFonts w:ascii="Aptos Narrow" w:eastAsia="Times New Roman" w:hAnsi="Aptos Narrow" w:cs="Times New Roman"/>
                <w:color w:val="000000"/>
                <w:lang w:val="en-US"/>
              </w:rPr>
              <w:t>Nẵng</w:t>
            </w:r>
            <w:proofErr w:type="spellEnd"/>
          </w:p>
        </w:tc>
      </w:tr>
    </w:tbl>
    <w:p w14:paraId="15F22B04" w14:textId="77777777" w:rsidR="00A67150" w:rsidRPr="00A67150" w:rsidRDefault="00A67150" w:rsidP="00A67150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67150" w:rsidRPr="00A67150">
      <w:type w:val="continuous"/>
      <w:pgSz w:w="11900" w:h="16820"/>
      <w:pgMar w:top="787" w:right="684" w:bottom="575" w:left="86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7CEE" w14:textId="77777777" w:rsidR="000A7CB8" w:rsidRDefault="000A7CB8">
      <w:pPr>
        <w:spacing w:line="240" w:lineRule="auto"/>
      </w:pPr>
      <w:r>
        <w:separator/>
      </w:r>
    </w:p>
  </w:endnote>
  <w:endnote w:type="continuationSeparator" w:id="0">
    <w:p w14:paraId="0D8C8E74" w14:textId="77777777" w:rsidR="000A7CB8" w:rsidRDefault="000A7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43F9" w14:textId="77777777" w:rsidR="000A7CB8" w:rsidRDefault="000A7CB8">
      <w:r>
        <w:separator/>
      </w:r>
    </w:p>
  </w:footnote>
  <w:footnote w:type="continuationSeparator" w:id="0">
    <w:p w14:paraId="531CD858" w14:textId="77777777" w:rsidR="000A7CB8" w:rsidRDefault="000A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DE4"/>
    <w:multiLevelType w:val="multilevel"/>
    <w:tmpl w:val="25555DE4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E343F4"/>
    <w:multiLevelType w:val="multilevel"/>
    <w:tmpl w:val="3BE343F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A213EE"/>
    <w:multiLevelType w:val="hybridMultilevel"/>
    <w:tmpl w:val="7E0E7D4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56E30758"/>
    <w:multiLevelType w:val="hybridMultilevel"/>
    <w:tmpl w:val="D3ACE7B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257638544">
    <w:abstractNumId w:val="1"/>
  </w:num>
  <w:num w:numId="2" w16cid:durableId="1877615660">
    <w:abstractNumId w:val="0"/>
  </w:num>
  <w:num w:numId="3" w16cid:durableId="1989817112">
    <w:abstractNumId w:val="3"/>
  </w:num>
  <w:num w:numId="4" w16cid:durableId="185067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72"/>
    <w:rsid w:val="000A7CB8"/>
    <w:rsid w:val="00105C47"/>
    <w:rsid w:val="001D319E"/>
    <w:rsid w:val="00226451"/>
    <w:rsid w:val="002A339F"/>
    <w:rsid w:val="0031460B"/>
    <w:rsid w:val="00356EC8"/>
    <w:rsid w:val="00383345"/>
    <w:rsid w:val="003E5794"/>
    <w:rsid w:val="003F49DF"/>
    <w:rsid w:val="00474143"/>
    <w:rsid w:val="004B370E"/>
    <w:rsid w:val="00522823"/>
    <w:rsid w:val="00595E2F"/>
    <w:rsid w:val="005E1001"/>
    <w:rsid w:val="0062547A"/>
    <w:rsid w:val="00632AFE"/>
    <w:rsid w:val="00633D91"/>
    <w:rsid w:val="00671872"/>
    <w:rsid w:val="00716B6B"/>
    <w:rsid w:val="00763FCD"/>
    <w:rsid w:val="00793E2F"/>
    <w:rsid w:val="007962D4"/>
    <w:rsid w:val="007D0CD8"/>
    <w:rsid w:val="00837195"/>
    <w:rsid w:val="00873FD9"/>
    <w:rsid w:val="008E0C57"/>
    <w:rsid w:val="008E4367"/>
    <w:rsid w:val="00954176"/>
    <w:rsid w:val="00961CAE"/>
    <w:rsid w:val="009B67D5"/>
    <w:rsid w:val="00A40B2E"/>
    <w:rsid w:val="00A67150"/>
    <w:rsid w:val="00AF5CED"/>
    <w:rsid w:val="00BD32F8"/>
    <w:rsid w:val="00BF77D3"/>
    <w:rsid w:val="00CE4741"/>
    <w:rsid w:val="00D65BB2"/>
    <w:rsid w:val="00E447A7"/>
    <w:rsid w:val="00EB39AF"/>
    <w:rsid w:val="00ED17AB"/>
    <w:rsid w:val="00EF65A0"/>
    <w:rsid w:val="00F275CA"/>
    <w:rsid w:val="00F843D9"/>
    <w:rsid w:val="00FA63E6"/>
    <w:rsid w:val="00FB133D"/>
    <w:rsid w:val="00FD1C6E"/>
    <w:rsid w:val="02CD288A"/>
    <w:rsid w:val="1F6751FF"/>
    <w:rsid w:val="2E5532F3"/>
    <w:rsid w:val="460E349E"/>
    <w:rsid w:val="48441296"/>
    <w:rsid w:val="48DC3EB7"/>
    <w:rsid w:val="4D0503A5"/>
    <w:rsid w:val="796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28DAA"/>
  <w15:docId w15:val="{CE4DFB3E-316E-4092-B86C-7A250BD3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-SG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2">
    <w:name w:val="xl7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Style62">
    <w:name w:val="_Style 6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3">
    <w:name w:val="_Style 63"/>
    <w:basedOn w:val="TableNormal"/>
    <w:tblPr>
      <w:tblCellMar>
        <w:left w:w="0" w:type="dxa"/>
        <w:right w:w="0" w:type="dxa"/>
      </w:tblCellMar>
    </w:tblPr>
  </w:style>
  <w:style w:type="table" w:customStyle="1" w:styleId="Style64">
    <w:name w:val="_Style 64"/>
    <w:basedOn w:val="TableNormal"/>
    <w:qFormat/>
    <w:tblPr>
      <w:tblCellMar>
        <w:top w:w="100" w:type="dxa"/>
        <w:left w:w="0" w:type="dxa"/>
        <w:bottom w:w="100" w:type="dxa"/>
        <w:right w:w="0" w:type="dxa"/>
      </w:tblCellMar>
    </w:tblPr>
  </w:style>
  <w:style w:type="table" w:customStyle="1" w:styleId="Style65">
    <w:name w:val="_Style 65"/>
    <w:basedOn w:val="TableNormal"/>
    <w:qFormat/>
    <w:tblPr>
      <w:tblCellMar>
        <w:top w:w="100" w:type="dxa"/>
        <w:left w:w="0" w:type="dxa"/>
        <w:bottom w:w="10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Linh - LG CC</cp:lastModifiedBy>
  <cp:revision>5</cp:revision>
  <dcterms:created xsi:type="dcterms:W3CDTF">2025-12-04T08:52:00Z</dcterms:created>
  <dcterms:modified xsi:type="dcterms:W3CDTF">2025-12-05T11:10:00Z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095303FB8FC4474888FB04F4CA687F44_13</vt:lpwstr>
  </property>
</Properties>
</file>