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0B866676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4B6190">
        <w:rPr>
          <w:rFonts w:asciiTheme="majorHAnsi" w:hAnsiTheme="majorHAnsi" w:cstheme="majorHAnsi"/>
          <w:sz w:val="24"/>
          <w:szCs w:val="24"/>
        </w:rPr>
        <w:t xml:space="preserve"> </w:t>
      </w:r>
      <w:r w:rsidR="004B6190" w:rsidRPr="004B6190">
        <w:rPr>
          <w:rFonts w:asciiTheme="majorHAnsi" w:hAnsiTheme="majorHAnsi" w:cstheme="majorHAnsi"/>
          <w:sz w:val="24"/>
          <w:szCs w:val="24"/>
        </w:rPr>
        <w:t>[</w:t>
      </w:r>
      <w:proofErr w:type="spellStart"/>
      <w:r w:rsidR="004B6190" w:rsidRPr="004B6190">
        <w:rPr>
          <w:rFonts w:asciiTheme="majorHAnsi" w:hAnsiTheme="majorHAnsi" w:cstheme="majorHAnsi"/>
          <w:sz w:val="24"/>
          <w:szCs w:val="24"/>
        </w:rPr>
        <w:t>Độc</w:t>
      </w:r>
      <w:proofErr w:type="spellEnd"/>
      <w:r w:rsidR="004B6190" w:rsidRPr="004B619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B6190" w:rsidRPr="004B6190">
        <w:rPr>
          <w:rFonts w:asciiTheme="majorHAnsi" w:hAnsiTheme="majorHAnsi" w:cstheme="majorHAnsi"/>
          <w:sz w:val="24"/>
          <w:szCs w:val="24"/>
        </w:rPr>
        <w:t>quyền</w:t>
      </w:r>
      <w:proofErr w:type="spellEnd"/>
      <w:r w:rsidR="004B6190" w:rsidRPr="004B6190">
        <w:rPr>
          <w:rFonts w:asciiTheme="majorHAnsi" w:hAnsiTheme="majorHAnsi" w:cstheme="majorHAnsi"/>
          <w:sz w:val="24"/>
          <w:szCs w:val="24"/>
        </w:rPr>
        <w:t xml:space="preserve"> </w:t>
      </w:r>
      <w:r w:rsidR="0005163B">
        <w:rPr>
          <w:rFonts w:asciiTheme="majorHAnsi" w:hAnsiTheme="majorHAnsi" w:cstheme="majorHAnsi"/>
          <w:sz w:val="24"/>
          <w:szCs w:val="24"/>
        </w:rPr>
        <w:t>Web/App]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A364ADE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B6190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B61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4B6190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4B61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2053490002"/>
          <w:placeholder>
            <w:docPart w:val="F043FD6A66DA4CC9839CC0B5FDAD2DF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B6190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4BA64AB" w14:textId="77777777" w:rsidR="00C500DE" w:rsidRPr="00C500DE" w:rsidRDefault="00284A25" w:rsidP="00C500DE">
      <w:pPr>
        <w:pStyle w:val="ListParagraph"/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  <w:r w:rsidR="006C36C9">
        <w:rPr>
          <w:rFonts w:asciiTheme="majorHAnsi" w:hAnsiTheme="majorHAnsi" w:cstheme="majorHAnsi"/>
          <w:sz w:val="24"/>
          <w:szCs w:val="24"/>
        </w:rPr>
        <w:t xml:space="preserve">  </w:t>
      </w:r>
      <w:r w:rsidR="00C500DE" w:rsidRPr="00C500DE">
        <w:rPr>
          <w:rFonts w:asciiTheme="majorHAnsi" w:hAnsiTheme="majorHAnsi" w:cstheme="majorHAnsi"/>
          <w:sz w:val="24"/>
          <w:szCs w:val="24"/>
        </w:rPr>
        <w:t>08/11/2025 - 11/11/2025</w:t>
      </w:r>
    </w:p>
    <w:p w14:paraId="6FB139F0" w14:textId="6E0AD737" w:rsidR="006C36C9" w:rsidRPr="00C500DE" w:rsidRDefault="00C500DE" w:rsidP="00C500DE">
      <w:pPr>
        <w:pStyle w:val="ListParagraph"/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C500DE">
        <w:rPr>
          <w:rFonts w:asciiTheme="majorHAnsi" w:hAnsiTheme="majorHAnsi" w:cstheme="majorHAnsi"/>
          <w:sz w:val="24"/>
          <w:szCs w:val="24"/>
        </w:rPr>
        <w:t>25/11/2025 - 28/11/2025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  <w:r w:rsidRPr="00C500DE">
        <w:rPr>
          <w:rFonts w:asciiTheme="majorHAnsi" w:hAnsiTheme="majorHAnsi" w:cstheme="majorHAnsi"/>
          <w:sz w:val="24"/>
          <w:szCs w:val="24"/>
        </w:rPr>
        <w:t>11/11/2025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  <w:r w:rsidRPr="00C500DE">
        <w:rPr>
          <w:rFonts w:asciiTheme="majorHAnsi" w:hAnsiTheme="majorHAnsi" w:cstheme="majorHAnsi"/>
          <w:sz w:val="24"/>
          <w:szCs w:val="24"/>
        </w:rPr>
        <w:t>28/11/2025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  <w:r w:rsidRPr="00C500DE">
        <w:rPr>
          <w:rFonts w:asciiTheme="majorHAnsi" w:hAnsiTheme="majorHAnsi" w:cstheme="majorHAnsi"/>
          <w:sz w:val="24"/>
          <w:szCs w:val="24"/>
        </w:rPr>
        <w:t>11/11/2025 - 13/11/2025</w:t>
      </w:r>
    </w:p>
    <w:p w14:paraId="3854A581" w14:textId="19C2DBCE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B619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500DE">
        <w:rPr>
          <w:rFonts w:asciiTheme="majorHAnsi" w:hAnsiTheme="majorHAnsi" w:cstheme="majorHAnsi"/>
          <w:color w:val="000000"/>
          <w:sz w:val="24"/>
          <w:szCs w:val="24"/>
        </w:rPr>
        <w:t>72-11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0A1FFA5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C500DE">
        <w:rPr>
          <w:rFonts w:asciiTheme="majorHAnsi" w:hAnsiTheme="majorHAnsi" w:cstheme="majorHAnsi"/>
          <w:color w:val="000000"/>
          <w:sz w:val="24"/>
          <w:szCs w:val="24"/>
        </w:rPr>
        <w:t>72-11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66F555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C500DE">
        <w:rPr>
          <w:rFonts w:asciiTheme="majorHAnsi" w:hAnsiTheme="majorHAnsi" w:cstheme="majorHAnsi"/>
          <w:color w:val="000000"/>
          <w:sz w:val="24"/>
          <w:szCs w:val="24"/>
        </w:rPr>
        <w:t>72-11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60AB60D0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5652C7" w:rsidRPr="005652C7">
        <w:rPr>
          <w:rFonts w:asciiTheme="majorHAnsi" w:hAnsiTheme="majorHAnsi" w:cstheme="majorHAnsi"/>
          <w:sz w:val="24"/>
          <w:szCs w:val="24"/>
        </w:rPr>
        <w:t>10.457.000.100</w:t>
      </w:r>
      <w:r w:rsidR="00C500DE">
        <w:rPr>
          <w:rFonts w:asciiTheme="majorHAnsi" w:hAnsiTheme="majorHAnsi" w:cstheme="majorHAnsi"/>
          <w:sz w:val="24"/>
          <w:szCs w:val="24"/>
        </w:rPr>
        <w:t xml:space="preserve">VNĐ </w:t>
      </w:r>
      <w:r w:rsidR="00F508B7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Mười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bốn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5652C7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5652C7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2B7B3A01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C500DE">
        <w:rPr>
          <w:rFonts w:asciiTheme="majorHAnsi" w:hAnsiTheme="majorHAnsi" w:cstheme="majorHAnsi"/>
          <w:sz w:val="24"/>
          <w:szCs w:val="24"/>
        </w:rPr>
        <w:t>7</w:t>
      </w:r>
      <w:r w:rsidR="005652C7">
        <w:rPr>
          <w:rFonts w:asciiTheme="majorHAnsi" w:hAnsiTheme="majorHAnsi" w:cstheme="majorHAnsi"/>
          <w:sz w:val="24"/>
          <w:szCs w:val="24"/>
        </w:rPr>
        <w:t>2-</w:t>
      </w:r>
      <w:r w:rsidR="00C500DE">
        <w:rPr>
          <w:rFonts w:asciiTheme="majorHAnsi" w:hAnsiTheme="majorHAnsi" w:cstheme="majorHAnsi"/>
          <w:sz w:val="24"/>
          <w:szCs w:val="24"/>
        </w:rPr>
        <w:t>11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67F2" w14:textId="77777777" w:rsidR="003D1572" w:rsidRDefault="003D1572">
      <w:r>
        <w:separator/>
      </w:r>
    </w:p>
  </w:endnote>
  <w:endnote w:type="continuationSeparator" w:id="0">
    <w:p w14:paraId="79183267" w14:textId="77777777" w:rsidR="003D1572" w:rsidRDefault="003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F157" w14:textId="77777777" w:rsidR="003D1572" w:rsidRDefault="003D1572">
      <w:r>
        <w:separator/>
      </w:r>
    </w:p>
  </w:footnote>
  <w:footnote w:type="continuationSeparator" w:id="0">
    <w:p w14:paraId="2B4D3AD7" w14:textId="77777777" w:rsidR="003D1572" w:rsidRDefault="003D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163B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D1572"/>
    <w:rsid w:val="003F2C9A"/>
    <w:rsid w:val="00407543"/>
    <w:rsid w:val="00416BD0"/>
    <w:rsid w:val="00417536"/>
    <w:rsid w:val="00453B2D"/>
    <w:rsid w:val="00455526"/>
    <w:rsid w:val="004B6190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2C7"/>
    <w:rsid w:val="00565981"/>
    <w:rsid w:val="005A2106"/>
    <w:rsid w:val="005A7F55"/>
    <w:rsid w:val="005D3857"/>
    <w:rsid w:val="005E21E3"/>
    <w:rsid w:val="005E35BF"/>
    <w:rsid w:val="0061389C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6F0AE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7F6107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19AA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4A98"/>
    <w:rsid w:val="00BB52F4"/>
    <w:rsid w:val="00BE0BE2"/>
    <w:rsid w:val="00BF64C4"/>
    <w:rsid w:val="00C2457F"/>
    <w:rsid w:val="00C3650E"/>
    <w:rsid w:val="00C433B6"/>
    <w:rsid w:val="00C47ADD"/>
    <w:rsid w:val="00C500DE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C7281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43FD6A66DA4CC9839CC0B5FDAD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5A9A-7B4B-45A9-A653-F338983BCB40}"/>
      </w:docPartPr>
      <w:docPartBody>
        <w:p w:rsidR="001A3FD0" w:rsidRDefault="00C33A06" w:rsidP="00C33A06">
          <w:pPr>
            <w:pStyle w:val="F043FD6A66DA4CC9839CC0B5FDAD2DF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398A"/>
    <w:rsid w:val="00176A51"/>
    <w:rsid w:val="001A3FD0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24621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1389C"/>
    <w:rsid w:val="00617DA8"/>
    <w:rsid w:val="0065439E"/>
    <w:rsid w:val="00656DF0"/>
    <w:rsid w:val="00665DCB"/>
    <w:rsid w:val="006D6F23"/>
    <w:rsid w:val="006F56FA"/>
    <w:rsid w:val="007B45FD"/>
    <w:rsid w:val="007D10B1"/>
    <w:rsid w:val="007E0E08"/>
    <w:rsid w:val="007F6107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B4A98"/>
    <w:rsid w:val="00BF6565"/>
    <w:rsid w:val="00C2457F"/>
    <w:rsid w:val="00C27AC0"/>
    <w:rsid w:val="00C33A06"/>
    <w:rsid w:val="00C433B6"/>
    <w:rsid w:val="00D32265"/>
    <w:rsid w:val="00D45443"/>
    <w:rsid w:val="00D55370"/>
    <w:rsid w:val="00D834DF"/>
    <w:rsid w:val="00D9204C"/>
    <w:rsid w:val="00D96A4A"/>
    <w:rsid w:val="00DF73A3"/>
    <w:rsid w:val="00E2535D"/>
    <w:rsid w:val="00E32899"/>
    <w:rsid w:val="00E60253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A06"/>
    <w:rPr>
      <w:color w:val="808080"/>
    </w:rPr>
  </w:style>
  <w:style w:type="paragraph" w:customStyle="1" w:styleId="F043FD6A66DA4CC9839CC0B5FDAD2DF0">
    <w:name w:val="F043FD6A66DA4CC9839CC0B5FDAD2DF0"/>
    <w:rsid w:val="00C33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11</cp:revision>
  <dcterms:created xsi:type="dcterms:W3CDTF">2025-06-04T07:19:00Z</dcterms:created>
  <dcterms:modified xsi:type="dcterms:W3CDTF">2025-11-28T11:27:00Z</dcterms:modified>
</cp:coreProperties>
</file>