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589C5C8E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E6469F">
        <w:rPr>
          <w:rFonts w:asciiTheme="majorHAnsi" w:hAnsiTheme="majorHAnsi" w:cstheme="majorHAnsi"/>
          <w:sz w:val="24"/>
          <w:szCs w:val="24"/>
        </w:rPr>
        <w:t>Online brand week</w:t>
      </w:r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7DDE2883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71603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="0071603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847597684"/>
          <w:placeholder>
            <w:docPart w:val="5E02F12E8E9D4AFD9D3CFBF8EF870779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71603D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6FB139F0" w14:textId="1BADA0DA" w:rsidR="006C36C9" w:rsidRPr="0071603D" w:rsidRDefault="00284A25" w:rsidP="00CF73B7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71603D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71603D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71603D">
        <w:rPr>
          <w:rFonts w:asciiTheme="majorHAnsi" w:hAnsiTheme="majorHAnsi" w:cstheme="majorHAnsi"/>
          <w:sz w:val="24"/>
          <w:szCs w:val="24"/>
        </w:rPr>
        <w:tab/>
      </w:r>
      <w:r w:rsidRPr="0071603D">
        <w:rPr>
          <w:rFonts w:asciiTheme="majorHAnsi" w:hAnsiTheme="majorHAnsi" w:cstheme="majorHAnsi"/>
          <w:sz w:val="24"/>
          <w:szCs w:val="24"/>
        </w:rPr>
        <w:tab/>
      </w:r>
      <w:r w:rsidR="00F508B7" w:rsidRPr="0071603D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71603D">
        <w:rPr>
          <w:rFonts w:asciiTheme="majorHAnsi" w:hAnsiTheme="majorHAnsi" w:cstheme="majorHAnsi"/>
          <w:sz w:val="24"/>
          <w:szCs w:val="24"/>
        </w:rPr>
        <w:t xml:space="preserve">  </w:t>
      </w:r>
      <w:r w:rsidR="002F22C1" w:rsidRPr="002F22C1">
        <w:rPr>
          <w:rFonts w:asciiTheme="majorHAnsi" w:hAnsiTheme="majorHAnsi" w:cstheme="majorHAnsi"/>
          <w:sz w:val="24"/>
          <w:szCs w:val="24"/>
        </w:rPr>
        <w:t>01/12/2025 - 07/12/2025</w:t>
      </w:r>
    </w:p>
    <w:p w14:paraId="3854A581" w14:textId="207FB51B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giảm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giá</w:t>
      </w:r>
      <w:proofErr w:type="spellEnd"/>
      <w:r w:rsidR="00E6469F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E6469F">
        <w:rPr>
          <w:rFonts w:asciiTheme="majorHAnsi" w:hAnsiTheme="majorHAnsi" w:cstheme="majorHAnsi"/>
          <w:color w:val="000000"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2F22C1">
        <w:rPr>
          <w:rFonts w:asciiTheme="majorHAnsi" w:hAnsiTheme="majorHAnsi" w:cstheme="majorHAnsi"/>
          <w:color w:val="000000"/>
          <w:sz w:val="24"/>
          <w:szCs w:val="24"/>
        </w:rPr>
        <w:t>43-12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03CB5420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2F22C1">
        <w:rPr>
          <w:rFonts w:asciiTheme="majorHAnsi" w:hAnsiTheme="majorHAnsi" w:cstheme="majorHAnsi"/>
          <w:color w:val="000000"/>
          <w:sz w:val="24"/>
          <w:szCs w:val="24"/>
        </w:rPr>
        <w:t>43-12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D2320D1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2F22C1">
        <w:rPr>
          <w:rFonts w:asciiTheme="majorHAnsi" w:hAnsiTheme="majorHAnsi" w:cstheme="majorHAnsi"/>
          <w:color w:val="000000"/>
          <w:sz w:val="24"/>
          <w:szCs w:val="24"/>
        </w:rPr>
        <w:t>43-12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19ADEEBD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F22C1">
        <w:rPr>
          <w:rFonts w:asciiTheme="majorHAnsi" w:hAnsiTheme="majorHAnsi" w:cstheme="majorHAnsi"/>
          <w:sz w:val="24"/>
          <w:szCs w:val="24"/>
        </w:rPr>
        <w:t xml:space="preserve">: </w:t>
      </w:r>
      <w:r w:rsidR="002F22C1" w:rsidRPr="002F22C1">
        <w:rPr>
          <w:rFonts w:asciiTheme="majorHAnsi" w:hAnsiTheme="majorHAnsi" w:cstheme="majorHAnsi"/>
          <w:sz w:val="24"/>
          <w:szCs w:val="24"/>
        </w:rPr>
        <w:t>1.770.000.000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proofErr w:type="spellStart"/>
      <w:r w:rsidR="002F22C1">
        <w:rPr>
          <w:rFonts w:asciiTheme="majorHAnsi" w:hAnsiTheme="majorHAnsi" w:cstheme="majorHAnsi"/>
          <w:sz w:val="24"/>
          <w:szCs w:val="24"/>
        </w:rPr>
        <w:t>Một</w:t>
      </w:r>
      <w:proofErr w:type="spellEnd"/>
      <w:r w:rsidR="002F22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F22C1">
        <w:rPr>
          <w:rFonts w:asciiTheme="majorHAnsi" w:hAnsiTheme="majorHAnsi" w:cstheme="majorHAnsi"/>
          <w:sz w:val="24"/>
          <w:szCs w:val="24"/>
        </w:rPr>
        <w:t>tỷ</w:t>
      </w:r>
      <w:proofErr w:type="spellEnd"/>
      <w:r w:rsidR="002F22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F22C1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2F22C1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2F22C1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2F22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F22C1">
        <w:rPr>
          <w:rFonts w:asciiTheme="majorHAnsi" w:hAnsiTheme="majorHAnsi" w:cstheme="majorHAnsi"/>
          <w:sz w:val="24"/>
          <w:szCs w:val="24"/>
        </w:rPr>
        <w:t>mươi</w:t>
      </w:r>
      <w:proofErr w:type="spellEnd"/>
      <w:r w:rsidR="002F22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F22C1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2F22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F22C1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2F22C1">
        <w:rPr>
          <w:rFonts w:asciiTheme="majorHAnsi" w:hAnsiTheme="majorHAnsi" w:cstheme="majorHAnsi"/>
          <w:sz w:val="24"/>
          <w:szCs w:val="24"/>
        </w:rPr>
        <w:t>)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09392BD9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2F22C1">
        <w:rPr>
          <w:rFonts w:asciiTheme="majorHAnsi" w:hAnsiTheme="majorHAnsi" w:cstheme="majorHAnsi"/>
          <w:sz w:val="24"/>
          <w:szCs w:val="24"/>
        </w:rPr>
        <w:t>43-12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B854F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B854F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340F" w14:textId="77777777" w:rsidR="00CA2B9A" w:rsidRDefault="00CA2B9A">
      <w:r>
        <w:separator/>
      </w:r>
    </w:p>
  </w:endnote>
  <w:endnote w:type="continuationSeparator" w:id="0">
    <w:p w14:paraId="02E0CE66" w14:textId="77777777" w:rsidR="00CA2B9A" w:rsidRDefault="00CA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C395" w14:textId="77777777" w:rsidR="00CA2B9A" w:rsidRDefault="00CA2B9A">
      <w:r>
        <w:separator/>
      </w:r>
    </w:p>
  </w:footnote>
  <w:footnote w:type="continuationSeparator" w:id="0">
    <w:p w14:paraId="20B0C5CF" w14:textId="77777777" w:rsidR="00CA2B9A" w:rsidRDefault="00CA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26D84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2F22C1"/>
    <w:rsid w:val="002F51B4"/>
    <w:rsid w:val="00300C55"/>
    <w:rsid w:val="0030100D"/>
    <w:rsid w:val="003037C2"/>
    <w:rsid w:val="0031153C"/>
    <w:rsid w:val="00321B11"/>
    <w:rsid w:val="00342C67"/>
    <w:rsid w:val="0037339D"/>
    <w:rsid w:val="0037480E"/>
    <w:rsid w:val="003865E8"/>
    <w:rsid w:val="00387EA2"/>
    <w:rsid w:val="00391B66"/>
    <w:rsid w:val="003A42AA"/>
    <w:rsid w:val="003C3188"/>
    <w:rsid w:val="003C533B"/>
    <w:rsid w:val="003C5AB2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61531"/>
    <w:rsid w:val="00565981"/>
    <w:rsid w:val="00567DB5"/>
    <w:rsid w:val="005A2106"/>
    <w:rsid w:val="005A7F55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1603D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0CD0"/>
    <w:rsid w:val="00963625"/>
    <w:rsid w:val="009A2840"/>
    <w:rsid w:val="009A2940"/>
    <w:rsid w:val="009B2AD0"/>
    <w:rsid w:val="009B4DBF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854F2"/>
    <w:rsid w:val="00B969FD"/>
    <w:rsid w:val="00BB2214"/>
    <w:rsid w:val="00BB47FA"/>
    <w:rsid w:val="00BB4A98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2B9A"/>
    <w:rsid w:val="00CA5B6D"/>
    <w:rsid w:val="00CD0935"/>
    <w:rsid w:val="00CD5607"/>
    <w:rsid w:val="00CF39A5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469F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5FEF"/>
    <w:rsid w:val="00F26347"/>
    <w:rsid w:val="00F30DE0"/>
    <w:rsid w:val="00F508B7"/>
    <w:rsid w:val="00F775CD"/>
    <w:rsid w:val="00F80FE9"/>
    <w:rsid w:val="00FB08C4"/>
    <w:rsid w:val="00FB0CCE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E02F12E8E9D4AFD9D3CFBF8EF87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BB2A-F847-463F-841D-CE37C7354DDE}"/>
      </w:docPartPr>
      <w:docPartBody>
        <w:p w:rsidR="006932FC" w:rsidRDefault="00D2790E" w:rsidP="00D2790E">
          <w:pPr>
            <w:pStyle w:val="5E02F12E8E9D4AFD9D3CFBF8EF8707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4700B"/>
    <w:rsid w:val="00171B9C"/>
    <w:rsid w:val="0017398A"/>
    <w:rsid w:val="00176A51"/>
    <w:rsid w:val="001F0C41"/>
    <w:rsid w:val="00211F56"/>
    <w:rsid w:val="00247E6F"/>
    <w:rsid w:val="00281F2D"/>
    <w:rsid w:val="002F51B4"/>
    <w:rsid w:val="00321B11"/>
    <w:rsid w:val="00351B38"/>
    <w:rsid w:val="00383581"/>
    <w:rsid w:val="003A1DC4"/>
    <w:rsid w:val="003A3E79"/>
    <w:rsid w:val="0043314E"/>
    <w:rsid w:val="00437B2C"/>
    <w:rsid w:val="004B69DD"/>
    <w:rsid w:val="00514F9E"/>
    <w:rsid w:val="00537DBA"/>
    <w:rsid w:val="00567DB5"/>
    <w:rsid w:val="00590125"/>
    <w:rsid w:val="005B7974"/>
    <w:rsid w:val="005E21E3"/>
    <w:rsid w:val="005E35BF"/>
    <w:rsid w:val="005F05F7"/>
    <w:rsid w:val="0065439E"/>
    <w:rsid w:val="00656DF0"/>
    <w:rsid w:val="00665DCB"/>
    <w:rsid w:val="006932FC"/>
    <w:rsid w:val="006D6F23"/>
    <w:rsid w:val="006F56FA"/>
    <w:rsid w:val="007B45FD"/>
    <w:rsid w:val="007D10B1"/>
    <w:rsid w:val="007E0E08"/>
    <w:rsid w:val="00817BCE"/>
    <w:rsid w:val="00823CB2"/>
    <w:rsid w:val="00827F02"/>
    <w:rsid w:val="00864B72"/>
    <w:rsid w:val="008B38E6"/>
    <w:rsid w:val="00960CD0"/>
    <w:rsid w:val="00963625"/>
    <w:rsid w:val="0097019B"/>
    <w:rsid w:val="00A1685D"/>
    <w:rsid w:val="00A50579"/>
    <w:rsid w:val="00AF4B68"/>
    <w:rsid w:val="00B67BB9"/>
    <w:rsid w:val="00B82C20"/>
    <w:rsid w:val="00BB4A98"/>
    <w:rsid w:val="00BF6565"/>
    <w:rsid w:val="00C2457F"/>
    <w:rsid w:val="00C27AC0"/>
    <w:rsid w:val="00C433B6"/>
    <w:rsid w:val="00D2790E"/>
    <w:rsid w:val="00D32265"/>
    <w:rsid w:val="00D45443"/>
    <w:rsid w:val="00D55370"/>
    <w:rsid w:val="00D834DF"/>
    <w:rsid w:val="00D9204C"/>
    <w:rsid w:val="00D96A4A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90E"/>
    <w:rPr>
      <w:color w:val="808080"/>
    </w:rPr>
  </w:style>
  <w:style w:type="paragraph" w:customStyle="1" w:styleId="5E02F12E8E9D4AFD9D3CFBF8EF870779">
    <w:name w:val="5E02F12E8E9D4AFD9D3CFBF8EF870779"/>
    <w:rsid w:val="00D279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13</cp:revision>
  <dcterms:created xsi:type="dcterms:W3CDTF">2025-06-04T07:19:00Z</dcterms:created>
  <dcterms:modified xsi:type="dcterms:W3CDTF">2025-11-26T09:03:00Z</dcterms:modified>
</cp:coreProperties>
</file>