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3FCDABBC" w14:textId="77777777" w:rsidR="000A5256"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5E5950">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0A5256" w:rsidRPr="000A5256" w14:paraId="141EC6D2" w14:textId="77777777" w:rsidTr="000A5256">
        <w:trPr>
          <w:trHeight w:val="563"/>
        </w:trPr>
        <w:tc>
          <w:tcPr>
            <w:tcW w:w="9360" w:type="dxa"/>
            <w:tcBorders>
              <w:top w:val="nil"/>
              <w:left w:val="nil"/>
              <w:bottom w:val="nil"/>
              <w:right w:val="nil"/>
            </w:tcBorders>
            <w:noWrap/>
            <w:vAlign w:val="center"/>
            <w:hideMark/>
          </w:tcPr>
          <w:p w14:paraId="504221FD"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QNA - Thửa 1453 QL40B: Thửa đất 1453, tờ bản đồ số 34, QL40B, thôn Cây Sanh, xã Phú Ninh, thành phố Đà Nẵng</w:t>
            </w:r>
          </w:p>
        </w:tc>
      </w:tr>
      <w:tr w:rsidR="000A5256" w:rsidRPr="000A5256" w14:paraId="49CF24C4" w14:textId="77777777" w:rsidTr="000A5256">
        <w:trPr>
          <w:trHeight w:val="285"/>
        </w:trPr>
        <w:tc>
          <w:tcPr>
            <w:tcW w:w="9360" w:type="dxa"/>
            <w:tcBorders>
              <w:top w:val="nil"/>
              <w:left w:val="nil"/>
              <w:bottom w:val="nil"/>
              <w:right w:val="nil"/>
            </w:tcBorders>
            <w:noWrap/>
            <w:vAlign w:val="center"/>
            <w:hideMark/>
          </w:tcPr>
          <w:p w14:paraId="7BBE2CF1"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HTI - 04 Võ Triều Chung: Số 04 Võ Triều Chung, Xã Đồng Lộc, Tỉnh Hà Tĩnh</w:t>
            </w:r>
          </w:p>
        </w:tc>
      </w:tr>
      <w:tr w:rsidR="000A5256" w:rsidRPr="000A5256" w14:paraId="7DE6D013" w14:textId="77777777" w:rsidTr="000A5256">
        <w:trPr>
          <w:trHeight w:val="743"/>
        </w:trPr>
        <w:tc>
          <w:tcPr>
            <w:tcW w:w="9360" w:type="dxa"/>
            <w:tcBorders>
              <w:top w:val="nil"/>
              <w:left w:val="nil"/>
              <w:bottom w:val="nil"/>
              <w:right w:val="nil"/>
            </w:tcBorders>
            <w:noWrap/>
            <w:vAlign w:val="center"/>
            <w:hideMark/>
          </w:tcPr>
          <w:p w14:paraId="2AC25FED"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TNG - 214 - 436 Quốc Lộ 37: Thửa đất số 436, tờ bản đồ số 5, Quốc lộ 37, tổ 4, xã Phú Bình, tỉnh Thái Nguyên</w:t>
            </w:r>
          </w:p>
        </w:tc>
      </w:tr>
      <w:tr w:rsidR="000A5256" w:rsidRPr="000A5256" w14:paraId="0438D440" w14:textId="77777777" w:rsidTr="000A5256">
        <w:trPr>
          <w:trHeight w:val="285"/>
        </w:trPr>
        <w:tc>
          <w:tcPr>
            <w:tcW w:w="9360" w:type="dxa"/>
            <w:tcBorders>
              <w:top w:val="nil"/>
              <w:left w:val="nil"/>
              <w:bottom w:val="nil"/>
              <w:right w:val="nil"/>
            </w:tcBorders>
            <w:noWrap/>
            <w:vAlign w:val="center"/>
            <w:hideMark/>
          </w:tcPr>
          <w:p w14:paraId="2DD5F586"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QNI - 50 Khu Vĩnh Thông: 50 khu Vĩnh Thông, Phường Mạo Khê, Tỉnh Quảng Ninh</w:t>
            </w:r>
          </w:p>
        </w:tc>
      </w:tr>
      <w:tr w:rsidR="000A5256" w:rsidRPr="000A5256" w14:paraId="307A3D19" w14:textId="77777777" w:rsidTr="000A5256">
        <w:trPr>
          <w:trHeight w:val="285"/>
        </w:trPr>
        <w:tc>
          <w:tcPr>
            <w:tcW w:w="9360" w:type="dxa"/>
            <w:tcBorders>
              <w:top w:val="nil"/>
              <w:left w:val="nil"/>
              <w:bottom w:val="nil"/>
              <w:right w:val="nil"/>
            </w:tcBorders>
            <w:noWrap/>
            <w:vAlign w:val="center"/>
            <w:hideMark/>
          </w:tcPr>
          <w:p w14:paraId="13334211"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TNI - 82 Quốc Lộ 22B: Số 82, đường Quốc lộ 22B, ấp Thanh Hòa, xã Trà Vong, tỉnh Tây Ninh</w:t>
            </w:r>
          </w:p>
        </w:tc>
      </w:tr>
      <w:tr w:rsidR="000A5256" w:rsidRPr="000A5256" w14:paraId="399C22F7" w14:textId="77777777" w:rsidTr="000A5256">
        <w:trPr>
          <w:trHeight w:val="555"/>
        </w:trPr>
        <w:tc>
          <w:tcPr>
            <w:tcW w:w="9360" w:type="dxa"/>
            <w:tcBorders>
              <w:top w:val="nil"/>
              <w:left w:val="nil"/>
              <w:bottom w:val="nil"/>
              <w:right w:val="nil"/>
            </w:tcBorders>
            <w:noWrap/>
            <w:vAlign w:val="center"/>
            <w:hideMark/>
          </w:tcPr>
          <w:p w14:paraId="5C86C764" w14:textId="77777777" w:rsidR="000A5256" w:rsidRPr="000A5256" w:rsidRDefault="000A5256" w:rsidP="000A5256">
            <w:pPr>
              <w:pStyle w:val="ListParagraph"/>
              <w:numPr>
                <w:ilvl w:val="0"/>
                <w:numId w:val="21"/>
              </w:numPr>
              <w:spacing w:line="240" w:lineRule="auto"/>
              <w:rPr>
                <w:rFonts w:ascii="Times New Roman" w:eastAsia="Times New Roman" w:hAnsi="Times New Roman" w:cs="Times New Roman"/>
                <w:color w:val="000000"/>
              </w:rPr>
            </w:pPr>
            <w:r w:rsidRPr="000A5256">
              <w:rPr>
                <w:rFonts w:ascii="Times New Roman" w:eastAsia="Times New Roman" w:hAnsi="Times New Roman" w:cs="Times New Roman"/>
                <w:color w:val="000000"/>
              </w:rPr>
              <w:t>Con Cưng VPH - 575 - 576 DT305B: Thửa đất số 575 và 576, tờ bản đồ số 76, đường DT305B, khu phố 2, xã Bình Nguyên, tỉnh Phú Thọ</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18305773"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D90DE8" w:rsidRPr="000A1781">
        <w:rPr>
          <w:rFonts w:ascii="Times New Roman" w:eastAsia="Times New Roman" w:hAnsi="Times New Roman" w:cs="Times New Roman"/>
          <w:b/>
          <w:bCs/>
          <w:color w:val="000000"/>
          <w:sz w:val="24"/>
          <w:szCs w:val="24"/>
        </w:rPr>
        <w:t>2</w:t>
      </w:r>
      <w:r w:rsidR="000A5256" w:rsidRPr="000A1781">
        <w:rPr>
          <w:rFonts w:ascii="Times New Roman" w:eastAsia="Times New Roman" w:hAnsi="Times New Roman" w:cs="Times New Roman"/>
          <w:b/>
          <w:bCs/>
          <w:color w:val="000000"/>
          <w:sz w:val="24"/>
          <w:szCs w:val="24"/>
        </w:rPr>
        <w:t>7</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585D637B"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w:t>
      </w:r>
      <w:r w:rsidR="00742819">
        <w:rPr>
          <w:rFonts w:ascii="Times New Roman" w:eastAsia="Times New Roman" w:hAnsi="Times New Roman" w:cs="Times New Roman"/>
          <w:color w:val="000000"/>
          <w:sz w:val="24"/>
          <w:szCs w:val="24"/>
        </w:rPr>
        <w:t>tại các cửa hàng áp dụng khai trương</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47464F4"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6C175C" w:rsidRPr="006C175C">
        <w:rPr>
          <w:rFonts w:ascii="Times New Roman" w:eastAsia="Times New Roman" w:hAnsi="Times New Roman" w:cs="Times New Roman"/>
          <w:b/>
          <w:bCs/>
          <w:color w:val="000000"/>
          <w:sz w:val="24"/>
          <w:szCs w:val="24"/>
        </w:rPr>
        <w:t>2,851,727,600</w:t>
      </w:r>
      <w:r w:rsidR="006C175C" w:rsidRPr="006C175C">
        <w:rPr>
          <w:rFonts w:ascii="Times New Roman" w:eastAsia="Times New Roman" w:hAnsi="Times New Roman" w:cs="Times New Roman"/>
          <w:color w:val="000000"/>
          <w:sz w:val="24"/>
          <w:szCs w:val="24"/>
        </w:rPr>
        <w:t xml:space="preserve">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C112AA">
        <w:rPr>
          <w:rFonts w:ascii="Times New Roman" w:eastAsia="Times New Roman" w:hAnsi="Times New Roman" w:cs="Times New Roman"/>
          <w:color w:val="000000"/>
          <w:sz w:val="24"/>
          <w:szCs w:val="24"/>
        </w:rPr>
        <w:t xml:space="preserve">: </w:t>
      </w:r>
      <w:r w:rsidR="006C175C">
        <w:rPr>
          <w:rFonts w:ascii="Times New Roman" w:eastAsia="Times New Roman" w:hAnsi="Times New Roman" w:cs="Times New Roman"/>
          <w:color w:val="000000"/>
          <w:sz w:val="24"/>
          <w:szCs w:val="24"/>
        </w:rPr>
        <w:t xml:space="preserve">Hai tỷ </w:t>
      </w:r>
      <w:r w:rsidR="006C175C">
        <w:rPr>
          <w:rFonts w:ascii="Times New Roman" w:eastAsia="Times New Roman" w:hAnsi="Times New Roman" w:cs="Times New Roman"/>
          <w:color w:val="000000"/>
          <w:sz w:val="24"/>
          <w:szCs w:val="24"/>
        </w:rPr>
        <w:lastRenderedPageBreak/>
        <w:t>tám trăm năm mươi mốt triệu bảy trăm hay mươi bảy nghìn sáu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B8215A9"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442838CC"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68CAD2B0"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019B87C2"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783956C8" w14:textId="77777777" w:rsidR="006C175C" w:rsidRDefault="006C175C" w:rsidP="00AA49A6">
      <w:pPr>
        <w:widowControl w:val="0"/>
        <w:spacing w:before="132" w:line="345" w:lineRule="auto"/>
        <w:ind w:right="449"/>
        <w:rPr>
          <w:rFonts w:ascii="Times New Roman" w:eastAsia="Times New Roman" w:hAnsi="Times New Roman" w:cs="Times New Roman"/>
          <w:color w:val="000000"/>
          <w:sz w:val="24"/>
          <w:szCs w:val="24"/>
        </w:rPr>
      </w:pPr>
    </w:p>
    <w:p w14:paraId="5777270E" w14:textId="112222CC" w:rsidR="000C2633"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14E0E48A" w14:textId="4D49EA30" w:rsidR="009844D5" w:rsidRPr="00D83C56" w:rsidRDefault="009844D5" w:rsidP="00D83C56">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tbl>
      <w:tblPr>
        <w:tblW w:w="9350" w:type="dxa"/>
        <w:tblLook w:val="04A0" w:firstRow="1" w:lastRow="0" w:firstColumn="1" w:lastColumn="0" w:noHBand="0" w:noVBand="1"/>
      </w:tblPr>
      <w:tblGrid>
        <w:gridCol w:w="7662"/>
        <w:gridCol w:w="876"/>
        <w:gridCol w:w="1481"/>
      </w:tblGrid>
      <w:tr w:rsidR="00C81C4E" w:rsidRPr="00C81C4E" w14:paraId="419B6A6B" w14:textId="77777777" w:rsidTr="00C81C4E">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13EB143E"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3C745DB9"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573C5BD2" w14:textId="77777777" w:rsidR="00C81C4E" w:rsidRPr="00C81C4E" w:rsidRDefault="00C81C4E" w:rsidP="00C81C4E">
            <w:pPr>
              <w:spacing w:line="240" w:lineRule="auto"/>
              <w:jc w:val="center"/>
              <w:rPr>
                <w:rFonts w:ascii="Times New Roman" w:eastAsia="Times New Roman" w:hAnsi="Times New Roman" w:cs="Times New Roman"/>
                <w:b/>
                <w:bCs/>
                <w:color w:val="FFFFFF"/>
              </w:rPr>
            </w:pPr>
            <w:r w:rsidRPr="00C81C4E">
              <w:rPr>
                <w:rFonts w:ascii="Times New Roman" w:eastAsia="Times New Roman" w:hAnsi="Times New Roman" w:cs="Times New Roman"/>
                <w:b/>
                <w:bCs/>
                <w:color w:val="FFFFFF"/>
              </w:rPr>
              <w:t>Tổng giá trị</w:t>
            </w:r>
          </w:p>
        </w:tc>
      </w:tr>
      <w:tr w:rsidR="00C81C4E" w:rsidRPr="00C81C4E" w14:paraId="36CB4A6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4E7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164377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3541C264" w14:textId="77777777" w:rsidR="00C81C4E" w:rsidRPr="00C81C4E" w:rsidRDefault="00C81C4E" w:rsidP="00C81C4E">
            <w:pPr>
              <w:spacing w:line="240" w:lineRule="auto"/>
              <w:jc w:val="right"/>
              <w:rPr>
                <w:rFonts w:ascii="Times New Roman" w:eastAsia="Times New Roman" w:hAnsi="Times New Roman" w:cs="Times New Roman"/>
                <w:b/>
                <w:bCs/>
                <w:color w:val="000000"/>
              </w:rPr>
            </w:pPr>
            <w:r w:rsidRPr="00C81C4E">
              <w:rPr>
                <w:rFonts w:ascii="Times New Roman" w:eastAsia="Times New Roman" w:hAnsi="Times New Roman" w:cs="Times New Roman"/>
                <w:b/>
                <w:bCs/>
                <w:color w:val="000000"/>
              </w:rPr>
              <w:t xml:space="preserve">       2,851,727,600 </w:t>
            </w:r>
          </w:p>
        </w:tc>
      </w:tr>
      <w:tr w:rsidR="00C81C4E" w:rsidRPr="00C81C4E" w14:paraId="4E114777" w14:textId="77777777" w:rsidTr="00C81C4E">
        <w:trPr>
          <w:trHeight w:val="345"/>
        </w:trPr>
        <w:tc>
          <w:tcPr>
            <w:tcW w:w="7662" w:type="dxa"/>
            <w:tcBorders>
              <w:top w:val="nil"/>
              <w:left w:val="single" w:sz="4" w:space="0" w:color="auto"/>
              <w:bottom w:val="single" w:sz="4" w:space="0" w:color="auto"/>
              <w:right w:val="single" w:sz="4" w:space="0" w:color="auto"/>
            </w:tcBorders>
            <w:noWrap/>
            <w:vAlign w:val="center"/>
            <w:hideMark/>
          </w:tcPr>
          <w:p w14:paraId="2FF1FD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718D640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28512</w:t>
            </w:r>
          </w:p>
        </w:tc>
        <w:tc>
          <w:tcPr>
            <w:tcW w:w="1072" w:type="dxa"/>
            <w:tcBorders>
              <w:top w:val="nil"/>
              <w:left w:val="nil"/>
              <w:bottom w:val="single" w:sz="4" w:space="0" w:color="auto"/>
              <w:right w:val="single" w:sz="4" w:space="0" w:color="auto"/>
            </w:tcBorders>
            <w:noWrap/>
            <w:vAlign w:val="center"/>
            <w:hideMark/>
          </w:tcPr>
          <w:p w14:paraId="584444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2F306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EF80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0A306A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130500</w:t>
            </w:r>
          </w:p>
        </w:tc>
        <w:tc>
          <w:tcPr>
            <w:tcW w:w="1072" w:type="dxa"/>
            <w:tcBorders>
              <w:top w:val="nil"/>
              <w:left w:val="nil"/>
              <w:bottom w:val="single" w:sz="4" w:space="0" w:color="auto"/>
              <w:right w:val="single" w:sz="4" w:space="0" w:color="auto"/>
            </w:tcBorders>
            <w:noWrap/>
            <w:vAlign w:val="center"/>
            <w:hideMark/>
          </w:tcPr>
          <w:p w14:paraId="7E70530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1F871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60C4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5A4DD8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7654B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DC02B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8E40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145591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93000</w:t>
            </w:r>
          </w:p>
        </w:tc>
        <w:tc>
          <w:tcPr>
            <w:tcW w:w="1072" w:type="dxa"/>
            <w:tcBorders>
              <w:top w:val="nil"/>
              <w:left w:val="nil"/>
              <w:bottom w:val="single" w:sz="4" w:space="0" w:color="auto"/>
              <w:right w:val="single" w:sz="4" w:space="0" w:color="auto"/>
            </w:tcBorders>
            <w:noWrap/>
            <w:vAlign w:val="center"/>
            <w:hideMark/>
          </w:tcPr>
          <w:p w14:paraId="31C0D5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271D9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239D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2F50FE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13AFD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367823"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AA67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6076F97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F4D36A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790628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ABBD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6BA0B2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E2A2E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088EB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21342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39DB9FB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98A91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84F22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58A8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0F4AC6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2B90F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1D977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4A5A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1A8DDA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F0F11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FD996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4766A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003AB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779E3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9943D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F291C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ACE7F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F05765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402C4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CD5C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272388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2EE69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435AB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EF67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2A626CD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CF58D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4CAE4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9FB3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54D348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895E3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B4EEF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C7B8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01F39D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79F6D0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73B8B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4138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251D8E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9FA32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9AA20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818F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6D7C772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AF4FC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D41659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467C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5120169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70EC8F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9295A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0E3C10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3C70FB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156000</w:t>
            </w:r>
          </w:p>
        </w:tc>
        <w:tc>
          <w:tcPr>
            <w:tcW w:w="1072" w:type="dxa"/>
            <w:tcBorders>
              <w:top w:val="nil"/>
              <w:left w:val="nil"/>
              <w:bottom w:val="single" w:sz="4" w:space="0" w:color="auto"/>
              <w:right w:val="single" w:sz="4" w:space="0" w:color="auto"/>
            </w:tcBorders>
            <w:noWrap/>
            <w:vAlign w:val="center"/>
            <w:hideMark/>
          </w:tcPr>
          <w:p w14:paraId="5570A5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38A44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8413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74F24A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24CF7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ADB9D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034E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6EFA7B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1A64C38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CAB59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1BEE5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436A4C5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175000</w:t>
            </w:r>
          </w:p>
        </w:tc>
        <w:tc>
          <w:tcPr>
            <w:tcW w:w="1072" w:type="dxa"/>
            <w:tcBorders>
              <w:top w:val="nil"/>
              <w:left w:val="nil"/>
              <w:bottom w:val="single" w:sz="4" w:space="0" w:color="auto"/>
              <w:right w:val="single" w:sz="4" w:space="0" w:color="auto"/>
            </w:tcBorders>
            <w:noWrap/>
            <w:vAlign w:val="center"/>
            <w:hideMark/>
          </w:tcPr>
          <w:p w14:paraId="60001F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49D96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A521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40079A6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EBBC3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C003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2634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74C7B4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2C67F3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85DCF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A081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48A3C7B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4E329B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FA4C8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7AD5C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7B6842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88000</w:t>
            </w:r>
          </w:p>
        </w:tc>
        <w:tc>
          <w:tcPr>
            <w:tcW w:w="1072" w:type="dxa"/>
            <w:tcBorders>
              <w:top w:val="nil"/>
              <w:left w:val="nil"/>
              <w:bottom w:val="single" w:sz="4" w:space="0" w:color="auto"/>
              <w:right w:val="single" w:sz="4" w:space="0" w:color="auto"/>
            </w:tcBorders>
            <w:noWrap/>
            <w:vAlign w:val="center"/>
            <w:hideMark/>
          </w:tcPr>
          <w:p w14:paraId="69D106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31DED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55BE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F6862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2A7B0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E8786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23F0A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77AB9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3A2C91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22969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36134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631509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392C2F6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25DF5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F836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795B8B1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7F521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0B2A0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F52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43F67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F5FD21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9393AB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5708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7AF11A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0E7FD5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F7035C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38D546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5FEB74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6D1888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747BE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CCFC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79034E7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EE670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B0639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C18F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50A457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4BBE40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15F39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5E9C45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241E1C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23F79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C1CC01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2F18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62DB84C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1A82845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D2419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0250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1D835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89900</w:t>
            </w:r>
          </w:p>
        </w:tc>
        <w:tc>
          <w:tcPr>
            <w:tcW w:w="1072" w:type="dxa"/>
            <w:tcBorders>
              <w:top w:val="nil"/>
              <w:left w:val="nil"/>
              <w:bottom w:val="single" w:sz="4" w:space="0" w:color="auto"/>
              <w:right w:val="single" w:sz="4" w:space="0" w:color="auto"/>
            </w:tcBorders>
            <w:noWrap/>
            <w:vAlign w:val="center"/>
            <w:hideMark/>
          </w:tcPr>
          <w:p w14:paraId="0E98466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C9F50B"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72A81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14C6BB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2721CD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04000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CCA86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20A359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59CCA2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34D2C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80E4E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42DB4B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1F1897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4B5DB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882A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7DE033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D19151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E18EB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57E6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6B35FAE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0E77E3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C17F7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2C1B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228F4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2DCA9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7116AD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448B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499DAEA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41DEE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0856C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3D481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402C5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966C1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C3D96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F5E8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1CDEEF2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F888E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E4AA1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77F1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7C7C68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CA81D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434806"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95F088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1DD715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F6A90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9C8D9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2EBF5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26EFF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754CF2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A2F7B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F0EC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8AA836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0812C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DBEDE8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5063B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7B15B4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AC409F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0C62D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6C022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09AE6C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619480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1ADA1D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38DF2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1FD47C4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5AFBB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7B309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25A6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58695D2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271C7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7C79E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049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387ED2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467D5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7A94C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5E68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78DC6D9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65FB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5886C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A9BEC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208AC2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1C09E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0CBD6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B036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C1633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AD366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1DC58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CA40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41492A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44B844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4FAD36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2F6E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33B240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856620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D905C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8BCB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7F199E4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4D9E9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575E3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BF3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17B9771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1994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C1249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C731B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3CAEE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1982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FD013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A511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1F8E6D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5FBBF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EDB4E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6256D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04E9C0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168E94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78B933A"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8413D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19D604E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4285F16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AB813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9BED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68F2B0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17B1A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45120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87EA2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492E9A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BDFAEE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CC077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D289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7300AB6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BBC2B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ADD46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46F1D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EB892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9EA904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C1152A"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B945E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0FBAD5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0D93020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D4911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55D1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0C554AF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F29D4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FC5D9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FCFCF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125AB2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3C8B886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66DC6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9E33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131B6B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E044F6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2142D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22989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71458B2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13F892B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00713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0DC2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57F4B2F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18178B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9F3E46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047D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A5964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26F7B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55AC3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D772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A207D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76382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B8EF3F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BD08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34F867C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8B3249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C82B0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323F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10B6D8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199225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8B579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2815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58E098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50D1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000D2B"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AAD09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6B63F9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57073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9465A8"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0619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341C0F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39058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CD282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CC2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1794A51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C8D1E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0A58A1"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58A49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154194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0FFD43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59B399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F6D28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54F889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AD8A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A5CF2E"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FC394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7D2D5AA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FCF73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085CE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09E0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FF23D8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2E94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CC5D19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E1965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155046F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3BF4BA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9945F2"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6C0616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409615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63000</w:t>
            </w:r>
          </w:p>
        </w:tc>
        <w:tc>
          <w:tcPr>
            <w:tcW w:w="1072" w:type="dxa"/>
            <w:tcBorders>
              <w:top w:val="nil"/>
              <w:left w:val="nil"/>
              <w:bottom w:val="single" w:sz="4" w:space="0" w:color="auto"/>
              <w:right w:val="single" w:sz="4" w:space="0" w:color="auto"/>
            </w:tcBorders>
            <w:noWrap/>
            <w:vAlign w:val="center"/>
            <w:hideMark/>
          </w:tcPr>
          <w:p w14:paraId="58C9965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CFA59"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1D33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A4F6B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3DC38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2DCD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CCF8E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6774B3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31E72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4908D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2A76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21EF6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8DD63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B0F6B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E58B4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1D1E0F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54CE9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A4CB1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F4D3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305418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53E3C8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D604D4"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00F95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00E39A2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69D05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127A4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841B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002FFD9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C2016A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2273E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EA14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681E14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510E4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674B1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C54C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541C12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3EEFCD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DFD50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B913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1A3623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9F165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98C06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FBE2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5739B9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C9AD9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7CC7B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1A02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76DF46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E9851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458AA63"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0694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7174C3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774BB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66436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8D774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062594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AAE2FA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2164B1"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93583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450EAC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F0B50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AC206F"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C20AE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7CC884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3A1E3C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A1622C"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3A6525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55635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F4733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B33C1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400AD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66ED11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2FB23B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8E5A9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14EB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338E75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B40DDE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2E5BE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A35FA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73DD50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0C6ED6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EAA985"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4896B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56FFA68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8A4E4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EA81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7648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7DD0F99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504C10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BAA4C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32BC0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763BA7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7F67A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410ECE3"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4F832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1967B0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9DED1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E25E2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5C9F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646D2A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01E60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AEE41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41EB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38FB6E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0C305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3D55D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720C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5657180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64139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0923E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13D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5788F1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B32E6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E550E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B41F8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12295A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7867F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CE334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5C95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17E6710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E89E9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EF60F7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9100E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5DD8CC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F6E21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3E0CA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BB2C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179CA6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FAD73B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08E006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791BC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782C179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E918A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489FD0"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B31A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C07F1B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7D040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14B21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6C27B27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49F5AE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7146BE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00BF4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046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389FDC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7ED346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7679C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B772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5B3FC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4EE491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8A6EE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29B3C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3AE200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B42C4F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2CF6CF"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CD58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68C821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0C87B3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45362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050B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0A8ED02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3D534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48BC04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3B8C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0697456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44DB7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36D920"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5C8D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59BEB6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47AF5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70C12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34A9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25827C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AFA328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DD7E24A"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AEE5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23B1CE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73B6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A187B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10F8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C17CC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080A9F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34546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E138B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7848F91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2893EA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25E13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9773F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6D48EE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201C66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328E256"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7D3D0B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29E8C9B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28F6BD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6E555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7FBE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39C7BC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E8BE8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75720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CBC64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382D1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CB5E74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DA83D96"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A4EA2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66B707E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B6CB7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25838C"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4FA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1DCEA3D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B6F9EA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6526B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344B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473D9B7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180FC8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97FE1B"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8AA8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057A79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6827A3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261864"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FC0F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63D9426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0D45D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B3F365"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825C4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321A6F6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B3170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8686E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D61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56D117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E73D38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F8D652"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F25A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4F7B7A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1BF7A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97646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43166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47BE543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BB0A42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B5062B9"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F2DE3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442C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112DA5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F67227"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E848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B4246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8AA867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BE9AF1"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862EF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BC489A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DE2AAC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12FD1D"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4AD2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13817A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394B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8D82E8" w14:textId="77777777" w:rsidTr="00C81C4E">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852C8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D0A45E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E29A43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A00BE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3EF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346D86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8C701E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0C92C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F462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5581DE5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23B03C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DC4AD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68B49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39E4D0D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A2C5C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88B0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30AF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0ECC18C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330000</w:t>
            </w:r>
          </w:p>
        </w:tc>
        <w:tc>
          <w:tcPr>
            <w:tcW w:w="1072" w:type="dxa"/>
            <w:tcBorders>
              <w:top w:val="nil"/>
              <w:left w:val="nil"/>
              <w:bottom w:val="single" w:sz="4" w:space="0" w:color="auto"/>
              <w:right w:val="single" w:sz="4" w:space="0" w:color="auto"/>
            </w:tcBorders>
            <w:noWrap/>
            <w:vAlign w:val="center"/>
            <w:hideMark/>
          </w:tcPr>
          <w:p w14:paraId="46DE7E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7A45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1B69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51A0F1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667FD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04B7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D115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72E285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40CE86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82A7B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0C51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41ADB16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F7B8A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C941C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823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122C2B7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38C2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BE65B7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EC7B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2D37B2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4CD329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E856BB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4F51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10F0A5D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B17E3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39583A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8305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2065CA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85000</w:t>
            </w:r>
          </w:p>
        </w:tc>
        <w:tc>
          <w:tcPr>
            <w:tcW w:w="1072" w:type="dxa"/>
            <w:tcBorders>
              <w:top w:val="nil"/>
              <w:left w:val="nil"/>
              <w:bottom w:val="single" w:sz="4" w:space="0" w:color="auto"/>
              <w:right w:val="single" w:sz="4" w:space="0" w:color="auto"/>
            </w:tcBorders>
            <w:noWrap/>
            <w:vAlign w:val="center"/>
            <w:hideMark/>
          </w:tcPr>
          <w:p w14:paraId="7C0E81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F9127E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E8D8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64CAE0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60B6E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3E856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B57C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2364C71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6C371C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8E4A5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90F72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6A67074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0D8F4D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54CB7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C5FE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54B350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7E1478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92303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0E8D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B4D44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E4935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0A4830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4FB3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4496A41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222EB2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A14ED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4446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053EF0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6F05F5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92424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595D8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C64CC7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3204F0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22D80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05ED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3E6688B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E98C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3FAFAE"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C547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F43896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CFAF96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B0CFA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435A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7C05646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5E9F03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BC538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1A647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7B8D620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79F597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11204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DE2B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124340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3914E1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8E8229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FEB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2D337B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C0DCFC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00CB5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84B2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9C0038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565452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643D1C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85A61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33429AC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D37870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07C7F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D304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46DDEF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60F4C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25F746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901A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84A79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C292A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ACFC6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0050E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1E2C997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00750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650E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5B62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52D4BD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669C98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4A2CDB" w14:textId="77777777" w:rsidTr="00C81C4E">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36EF982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20ADAD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41EE4E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59A16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A7AF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71FB982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C08B8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A08FE7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4C18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69531B6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44EB1D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5329D0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15E2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2091FF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1C0BA1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C9961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BDF3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F3526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523A0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2EE18B"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8FF4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6FAA888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C43C0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2B40D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8F81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5773ED1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55C68C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FEB03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63C0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08D883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54B40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D39DD5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BAA15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15CB85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BDBE0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33FAB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EC4E5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1786E2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CAB78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B2A0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2634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56B0033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397878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9686E9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0F4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73382D0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4D2401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EC8B1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67D2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7FCA5F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27829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26011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9FC03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0A9E3BA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736238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F5D9B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05D0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5D2A76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11183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27EF1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AD44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B2C9D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9940F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28CB85"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B7B1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3E7E6E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351189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675DCE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47A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5A931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6D0E1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EBC6C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A8B9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DE606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CA520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FB5543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34EA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56264A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0097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BD0A0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6BE5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785993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F71CC7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5103A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3790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44A9C1C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F7CF8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61D3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058E1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B289DD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03CDFC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F3827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08FD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61FAB6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A4624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EF01EAB"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E0F70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6070D12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314C5A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B37D9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D54F0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2E458F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D9607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D374E0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E57F2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64B62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451DA4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87017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B9AFB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79626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2645E5A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6CF2BF"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4F2F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28DD5CF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4393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090AF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A97CD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55278D9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96F9DE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06CEC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F6AF7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5DB5A3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C4390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D0D48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3868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0DFDF72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62FE46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492653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7721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0A5C7E5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1967F7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E222F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412D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42755E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AFF8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A3FD53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6415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3898C88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852C4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7552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E2A1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7A6DB4B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5DBB8F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E838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E3C2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6BC74E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6DD61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C981A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BF05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034628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357A7A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FB11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80BC8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44CEBDA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A4F55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21B32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59E3A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3880244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6FCE67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6D9A1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E1BB4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20DB49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797B7A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B4BCAF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BC8F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9E9C2A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07DD2E7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3A8A5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B55F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0A1358E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346D3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B73788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DB24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905895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4736EE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8DBF1B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2B0B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2EA37E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14A423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EB1B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D4748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298786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F2EC2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26556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9298D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57FF334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45EC7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E72FBF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A754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4E6DAE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0C346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8D6F7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3886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F87D65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93663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1628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951C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19C28E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57E22E4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017ED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29B22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26A420D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18BB09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7B7F3B0"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6B177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0A6FA8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897EEF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DCB847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CA5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B2FE4E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6E4E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A6C381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A61E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66E086B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E9D7A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76CC6A"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B0E9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42008BF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A05D2D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042822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8CC2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170D45C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33A57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E0262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87169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037B4AB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BEE4B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CDCC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24CF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703695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90DDC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4FA0D2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2F71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C2182B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45000</w:t>
            </w:r>
          </w:p>
        </w:tc>
        <w:tc>
          <w:tcPr>
            <w:tcW w:w="1072" w:type="dxa"/>
            <w:tcBorders>
              <w:top w:val="nil"/>
              <w:left w:val="nil"/>
              <w:bottom w:val="single" w:sz="4" w:space="0" w:color="auto"/>
              <w:right w:val="single" w:sz="4" w:space="0" w:color="auto"/>
            </w:tcBorders>
            <w:noWrap/>
            <w:vAlign w:val="center"/>
            <w:hideMark/>
          </w:tcPr>
          <w:p w14:paraId="4CA0195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159F3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D781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218F56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2FA22C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CCBD5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89AF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1E2A86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606AF8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125117"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878C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21FBD2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A745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C71C83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BD98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539924E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528E1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C6AFFA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1A35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6C949AF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C0AFB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8C17F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DE80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75E689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843EA9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6FDE9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7F7E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1B1FEC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2B0DF3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EC04D7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BAA3F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2F3015A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2BBEE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6D1D0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68E0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5C7ECA9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072E187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9E81D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FEEF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1780180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826C6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17BA46"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E7611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85208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63E8F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F3464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51D3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741ED3E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DB39F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B56057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DC14E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471B504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33000</w:t>
            </w:r>
          </w:p>
        </w:tc>
        <w:tc>
          <w:tcPr>
            <w:tcW w:w="1072" w:type="dxa"/>
            <w:tcBorders>
              <w:top w:val="nil"/>
              <w:left w:val="nil"/>
              <w:bottom w:val="single" w:sz="4" w:space="0" w:color="auto"/>
              <w:right w:val="single" w:sz="4" w:space="0" w:color="auto"/>
            </w:tcBorders>
            <w:noWrap/>
            <w:vAlign w:val="center"/>
            <w:hideMark/>
          </w:tcPr>
          <w:p w14:paraId="7DE312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C0C04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1D68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938F3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28DAAA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6AC0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9CEB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66F2900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28CB7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D4B4B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60B55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0E19101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28AFB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B1289C"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269A6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2AFDBF1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3991B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93379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6FA7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C80DB8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5673E7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B5BCC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C7A28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6B3AB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5D1BF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C719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1725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7F58E5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6262439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89059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19A9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5E9B693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0B1F30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8B87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A875B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06B954C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EF6724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7442D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E6AF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1AD55F4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06B623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004D3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3623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770E114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1BA59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5B1AD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9F0F0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3C101D1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137DE6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B5268D"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21574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731E79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732E490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9D63FA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4DD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42FA599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94AE8E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B8FCF5"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550A6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687C698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7EA54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265653"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CD14E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18A7A9D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32BD2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0BA39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CA96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16EC54B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037A7C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1C74F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8F00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13185CF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28B20F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DE85B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BF0A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43F29A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D2C55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5EC3F6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BC91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1C17613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47F891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808B46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48030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CA892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5A1022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716CDC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D07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461BEC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84B2D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E3FD3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E1121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55803BD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385BE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70DC2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7669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76CB348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CAA90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140FF4"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BBCAE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49647D0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F1D3F5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F03C91"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B4B6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6BBF4D1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4FE82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8F6B6F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507B6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5B9B6B3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46C474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DF0DB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D63C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54C8F29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3C0E765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DD886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E40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649AAE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1D15013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666B5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C6D2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307EA99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63DDD7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F0F8E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2F955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5E7FC8D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6748FB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FD98CC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89CBC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195B4F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F07F89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A1E5B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FB98A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3A1BDBA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9C6EDE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338F8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6E17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5A357F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515DE5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BE6D2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15D0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2AECFA5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604CEA1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5FA19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6EF68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18F415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6E4D22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795FE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C694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7B4124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D1D7E0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5D430D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61476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64FD51D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6539CF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877756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61B7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07CBF0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35C4C2F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E76B2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E114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4AC9BE7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89D7D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C98306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05E56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6E3F338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9A9A7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A1AE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84D4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53CD95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1003FF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E3CBE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9E4C9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4DEBFA1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0E727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89CCF1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11DB0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2C0D208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EA55AE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767F9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C1A5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49FC107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611870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F79900F"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09D8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2ECF81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A023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EB3FF57"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9871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3439DF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5248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05C938E"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575F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750537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43640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D543219"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956C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616F5F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8AFDA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F72408"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12BE0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2411D1D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AAAF14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3CEC6E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2E2E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54C1B91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6E615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2CC31E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B2AE7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77DBFD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DA44A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84B9F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A427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5A9A302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400000</w:t>
            </w:r>
          </w:p>
        </w:tc>
        <w:tc>
          <w:tcPr>
            <w:tcW w:w="1072" w:type="dxa"/>
            <w:tcBorders>
              <w:top w:val="nil"/>
              <w:left w:val="nil"/>
              <w:bottom w:val="single" w:sz="4" w:space="0" w:color="auto"/>
              <w:right w:val="single" w:sz="4" w:space="0" w:color="auto"/>
            </w:tcBorders>
            <w:noWrap/>
            <w:vAlign w:val="center"/>
            <w:hideMark/>
          </w:tcPr>
          <w:p w14:paraId="68367D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925113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DF6E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119F3E0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51B73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19920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1377A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1BE20C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28000</w:t>
            </w:r>
          </w:p>
        </w:tc>
        <w:tc>
          <w:tcPr>
            <w:tcW w:w="1072" w:type="dxa"/>
            <w:tcBorders>
              <w:top w:val="nil"/>
              <w:left w:val="nil"/>
              <w:bottom w:val="single" w:sz="4" w:space="0" w:color="auto"/>
              <w:right w:val="single" w:sz="4" w:space="0" w:color="auto"/>
            </w:tcBorders>
            <w:noWrap/>
            <w:vAlign w:val="center"/>
            <w:hideMark/>
          </w:tcPr>
          <w:p w14:paraId="4A0176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6BB8B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040C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35421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D8E194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ACEC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9B319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56CAE6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0F2978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9E7AF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ECEF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2DA6752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65EA55B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F7B2D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48FB3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22DA5D6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E3CF1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574EB2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94FAB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2563D8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26D482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F9106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6D6CB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3DEF9E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C8DB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AD14BA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F73D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4FA4C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014E7A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2997C0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4EFB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310D37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78DB6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F3B27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37F0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3E128E8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68F1DE8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9CB6A5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196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46C6C91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531C8F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AE8D09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BC73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6798E6A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w:t>
            </w:r>
          </w:p>
        </w:tc>
        <w:tc>
          <w:tcPr>
            <w:tcW w:w="1072" w:type="dxa"/>
            <w:tcBorders>
              <w:top w:val="nil"/>
              <w:left w:val="nil"/>
              <w:bottom w:val="single" w:sz="4" w:space="0" w:color="auto"/>
              <w:right w:val="single" w:sz="4" w:space="0" w:color="auto"/>
            </w:tcBorders>
            <w:noWrap/>
            <w:vAlign w:val="center"/>
            <w:hideMark/>
          </w:tcPr>
          <w:p w14:paraId="6FD509E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4A0C3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96C7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37E13B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6C6662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148DE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C33A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77B6735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D7309B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A838CF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920AA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24AF70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798265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68C126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C3C7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48DACEE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D3F758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04259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AA13B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5C4273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120E52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A2585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24026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087DFC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442BEE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098A4D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24ED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DBF1CD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7C1CB1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CA5E7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F8BF7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23D73A7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2EB8E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26FAEF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97081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6C1E6D2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w:t>
            </w:r>
          </w:p>
        </w:tc>
        <w:tc>
          <w:tcPr>
            <w:tcW w:w="1072" w:type="dxa"/>
            <w:tcBorders>
              <w:top w:val="nil"/>
              <w:left w:val="nil"/>
              <w:bottom w:val="single" w:sz="4" w:space="0" w:color="auto"/>
              <w:right w:val="single" w:sz="4" w:space="0" w:color="auto"/>
            </w:tcBorders>
            <w:noWrap/>
            <w:vAlign w:val="center"/>
            <w:hideMark/>
          </w:tcPr>
          <w:p w14:paraId="664DD19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FCA50C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98B47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7A4F240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4926C7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577EC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8A442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36646B7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457ADCD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9799F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A8239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316A226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55000</w:t>
            </w:r>
          </w:p>
        </w:tc>
        <w:tc>
          <w:tcPr>
            <w:tcW w:w="1072" w:type="dxa"/>
            <w:tcBorders>
              <w:top w:val="nil"/>
              <w:left w:val="nil"/>
              <w:bottom w:val="single" w:sz="4" w:space="0" w:color="auto"/>
              <w:right w:val="single" w:sz="4" w:space="0" w:color="auto"/>
            </w:tcBorders>
            <w:noWrap/>
            <w:vAlign w:val="center"/>
            <w:hideMark/>
          </w:tcPr>
          <w:p w14:paraId="4FB6E5B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8642F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F95AB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2919DFB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235000</w:t>
            </w:r>
          </w:p>
        </w:tc>
        <w:tc>
          <w:tcPr>
            <w:tcW w:w="1072" w:type="dxa"/>
            <w:tcBorders>
              <w:top w:val="nil"/>
              <w:left w:val="nil"/>
              <w:bottom w:val="single" w:sz="4" w:space="0" w:color="auto"/>
              <w:right w:val="single" w:sz="4" w:space="0" w:color="auto"/>
            </w:tcBorders>
            <w:noWrap/>
            <w:vAlign w:val="center"/>
            <w:hideMark/>
          </w:tcPr>
          <w:p w14:paraId="60A95DF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988F88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C4CC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09E966D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5A1A2E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C1BCE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B20B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07705F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D022E9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C9A855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79D6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31EE14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32B6099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19C109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F9A61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A6540C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973FC1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F060B1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348C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A05A8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160000</w:t>
            </w:r>
          </w:p>
        </w:tc>
        <w:tc>
          <w:tcPr>
            <w:tcW w:w="1072" w:type="dxa"/>
            <w:tcBorders>
              <w:top w:val="nil"/>
              <w:left w:val="nil"/>
              <w:bottom w:val="single" w:sz="4" w:space="0" w:color="auto"/>
              <w:right w:val="single" w:sz="4" w:space="0" w:color="auto"/>
            </w:tcBorders>
            <w:noWrap/>
            <w:vAlign w:val="center"/>
            <w:hideMark/>
          </w:tcPr>
          <w:p w14:paraId="1616AD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3133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3B1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2B1DF81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7C323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54B3D1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9956B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5BA0412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2DF183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0624CC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73956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3737D9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495581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860DA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27DB5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72164DC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5CB3B0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391FAD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C708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4F9742C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8E991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09FD3D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4FD30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B60A39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53000</w:t>
            </w:r>
          </w:p>
        </w:tc>
        <w:tc>
          <w:tcPr>
            <w:tcW w:w="1072" w:type="dxa"/>
            <w:tcBorders>
              <w:top w:val="nil"/>
              <w:left w:val="nil"/>
              <w:bottom w:val="single" w:sz="4" w:space="0" w:color="auto"/>
              <w:right w:val="single" w:sz="4" w:space="0" w:color="auto"/>
            </w:tcBorders>
            <w:noWrap/>
            <w:vAlign w:val="center"/>
            <w:hideMark/>
          </w:tcPr>
          <w:p w14:paraId="5570BA1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CD9A7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8F47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09BDD73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52F666A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9C414C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ABBA1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720F160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7CC75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1CD659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5CE9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0176FF5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D2D66C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BCBDB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BE5F9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6565FD9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14BF87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B546E3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C7EFD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A4A33A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7BAC48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32A1C2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15120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7060FBB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3A59AA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FCC8B2" w14:textId="77777777" w:rsidTr="00C81C4E">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8611A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F6105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80C5A9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787F84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AC2D1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04A3EF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132000</w:t>
            </w:r>
          </w:p>
        </w:tc>
        <w:tc>
          <w:tcPr>
            <w:tcW w:w="1072" w:type="dxa"/>
            <w:tcBorders>
              <w:top w:val="nil"/>
              <w:left w:val="nil"/>
              <w:bottom w:val="single" w:sz="4" w:space="0" w:color="auto"/>
              <w:right w:val="single" w:sz="4" w:space="0" w:color="auto"/>
            </w:tcBorders>
            <w:noWrap/>
            <w:vAlign w:val="center"/>
            <w:hideMark/>
          </w:tcPr>
          <w:p w14:paraId="0B5F713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9BFF77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4C310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400C73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7CE71F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F7596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84CD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55CB548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74759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83C4E1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0EDC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7E27E4F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5B8714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7640DF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8C22E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723658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03FC0BF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2AF1F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77E97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7451B8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190000</w:t>
            </w:r>
          </w:p>
        </w:tc>
        <w:tc>
          <w:tcPr>
            <w:tcW w:w="1072" w:type="dxa"/>
            <w:tcBorders>
              <w:top w:val="nil"/>
              <w:left w:val="nil"/>
              <w:bottom w:val="single" w:sz="4" w:space="0" w:color="auto"/>
              <w:right w:val="single" w:sz="4" w:space="0" w:color="auto"/>
            </w:tcBorders>
            <w:noWrap/>
            <w:vAlign w:val="center"/>
            <w:hideMark/>
          </w:tcPr>
          <w:p w14:paraId="513DEFF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EDF92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90EBB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4AFAFA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2F2BA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C16629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7CC22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75325D9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283C4B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BCA3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D042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5D94CD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308CF76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1E579B"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886DE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44EC0D6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76200</w:t>
            </w:r>
          </w:p>
        </w:tc>
        <w:tc>
          <w:tcPr>
            <w:tcW w:w="1072" w:type="dxa"/>
            <w:tcBorders>
              <w:top w:val="nil"/>
              <w:left w:val="nil"/>
              <w:bottom w:val="single" w:sz="4" w:space="0" w:color="auto"/>
              <w:right w:val="single" w:sz="4" w:space="0" w:color="auto"/>
            </w:tcBorders>
            <w:noWrap/>
            <w:vAlign w:val="center"/>
            <w:hideMark/>
          </w:tcPr>
          <w:p w14:paraId="2ECC13B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1D7749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3D19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545D5AF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1C7865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0C4FE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A1947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3EC93C2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9154A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0EDB3C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56E6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10CED4E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69CB223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27B9B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170B4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511758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07BBBBF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216BAD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0C956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78CC1D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992DC3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F481E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0A9EE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7B7FB53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D5939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DB0B5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27E7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1AE3A4F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A3C6A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84A155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4F48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2C97514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4415ED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A0B993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21EBB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495BE8E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6601B1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AF008C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02983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0976F9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3CA1EC3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DCC850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8E358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4BA8577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142FEE1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428CE9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180D4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7C204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199000</w:t>
            </w:r>
          </w:p>
        </w:tc>
        <w:tc>
          <w:tcPr>
            <w:tcW w:w="1072" w:type="dxa"/>
            <w:tcBorders>
              <w:top w:val="nil"/>
              <w:left w:val="nil"/>
              <w:bottom w:val="single" w:sz="4" w:space="0" w:color="auto"/>
              <w:right w:val="single" w:sz="4" w:space="0" w:color="auto"/>
            </w:tcBorders>
            <w:noWrap/>
            <w:vAlign w:val="center"/>
            <w:hideMark/>
          </w:tcPr>
          <w:p w14:paraId="3944EC4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9A57A8"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89265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49051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6F8C3A0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23B008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21CE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31086C2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B2A56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FB2F9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8F445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1F3E3BB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3184A6A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43107D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5D67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54C39D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8529BD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723F26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072F5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66B084F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CE98F1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0A45F2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17FD7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38647F99"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27FEC9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8C11EE7"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E3568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787A5C95"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093EC96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8CE0F61"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CB5D6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1BCA4DC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B1752B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73F5BB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30B33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3B58EB1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D3F0F6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A88CF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ADEE7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FA14E0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3A3B286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07F0BB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98DF0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2CB0536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037B693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65CBD99"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F1249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021504F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B6CC20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3E129FD"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E257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4C3F9C1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3F54663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C11E0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148DA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7F8A0E3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6E510F3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77E6A4"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9A7D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C97DC6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8EE85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EAF645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D7EC82"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999034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E1FA2A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C8E667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933A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5B2E48AE"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19A726F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3CE74A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FE88F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lastRenderedPageBreak/>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8D8AD5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5B7DCA8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9B639A5"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5F0B6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33465B1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2D21834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FE7ED3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CE5CA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DC4B00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6DA2F6E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BD82EA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8522D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196583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0FC3F69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E7342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8201F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9938B4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275000</w:t>
            </w:r>
          </w:p>
        </w:tc>
        <w:tc>
          <w:tcPr>
            <w:tcW w:w="1072" w:type="dxa"/>
            <w:tcBorders>
              <w:top w:val="nil"/>
              <w:left w:val="nil"/>
              <w:bottom w:val="single" w:sz="4" w:space="0" w:color="auto"/>
              <w:right w:val="single" w:sz="4" w:space="0" w:color="auto"/>
            </w:tcBorders>
            <w:noWrap/>
            <w:vAlign w:val="center"/>
            <w:hideMark/>
          </w:tcPr>
          <w:p w14:paraId="4C53BF8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6D096A2"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C85FB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7D0B9A2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4125EB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34D403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2FA5C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1DF8D1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D911E8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9D1894A"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A46A2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3F88FF42"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5B55D8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6DA929C"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8CAAC9"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2D809EC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3A576C1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E1E8DC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3745D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457FE4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567E80C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023761C6"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3317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14114A9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667ABD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FA93B3"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AE8B5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023B0F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447EA7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43353BF"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103E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6FFB8D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B63F17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51D6FF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20A75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0FC0B676"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F24780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32CB410"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5E602E"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09C96B0"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124D867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D148FDE" w14:textId="77777777" w:rsidTr="00C81C4E">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04A29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DDD6141"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70E8C683"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17937CD"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08E010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16DDBC27"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5387F2C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C3C60E4" w14:textId="77777777" w:rsidTr="00C81C4E">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425E6AD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3B35C33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188F4AF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122BC59"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35DDF4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034B4F1C"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9000</w:t>
            </w:r>
          </w:p>
        </w:tc>
        <w:tc>
          <w:tcPr>
            <w:tcW w:w="1072" w:type="dxa"/>
            <w:tcBorders>
              <w:top w:val="nil"/>
              <w:left w:val="nil"/>
              <w:bottom w:val="single" w:sz="4" w:space="0" w:color="auto"/>
              <w:right w:val="single" w:sz="4" w:space="0" w:color="auto"/>
            </w:tcBorders>
            <w:noWrap/>
            <w:vAlign w:val="center"/>
            <w:hideMark/>
          </w:tcPr>
          <w:p w14:paraId="7B268E01"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6E225029"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7CA04FC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2D22C238"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51000</w:t>
            </w:r>
          </w:p>
        </w:tc>
        <w:tc>
          <w:tcPr>
            <w:tcW w:w="1072" w:type="dxa"/>
            <w:tcBorders>
              <w:top w:val="nil"/>
              <w:left w:val="nil"/>
              <w:bottom w:val="single" w:sz="4" w:space="0" w:color="auto"/>
              <w:right w:val="single" w:sz="4" w:space="0" w:color="auto"/>
            </w:tcBorders>
            <w:noWrap/>
            <w:vAlign w:val="center"/>
            <w:hideMark/>
          </w:tcPr>
          <w:p w14:paraId="2981A84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263EFE3E"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356A2B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4525219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3C871BB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452596FE"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59AC644B"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45906DEF"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50D637C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D71E344"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E1E6ABC"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7FF18DAD"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0D52ED0"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E809F4C"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55286B5D"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0AABA97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690725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149CC193" w14:textId="77777777" w:rsidTr="00C81C4E">
        <w:trPr>
          <w:trHeight w:val="285"/>
        </w:trPr>
        <w:tc>
          <w:tcPr>
            <w:tcW w:w="7662" w:type="dxa"/>
            <w:tcBorders>
              <w:top w:val="nil"/>
              <w:left w:val="single" w:sz="4" w:space="0" w:color="auto"/>
              <w:bottom w:val="single" w:sz="4" w:space="0" w:color="auto"/>
              <w:right w:val="single" w:sz="4" w:space="0" w:color="auto"/>
            </w:tcBorders>
            <w:noWrap/>
            <w:vAlign w:val="bottom"/>
            <w:hideMark/>
          </w:tcPr>
          <w:p w14:paraId="476BF8F5"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143A9A63"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41711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5C502787"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CBAD0AF"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05E4B0D4"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160740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181793E"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A0950F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Máy Bắn Vòng Nước</w:t>
            </w:r>
          </w:p>
        </w:tc>
        <w:tc>
          <w:tcPr>
            <w:tcW w:w="616" w:type="dxa"/>
            <w:tcBorders>
              <w:top w:val="nil"/>
              <w:left w:val="nil"/>
              <w:bottom w:val="single" w:sz="4" w:space="0" w:color="auto"/>
              <w:right w:val="single" w:sz="4" w:space="0" w:color="auto"/>
            </w:tcBorders>
            <w:noWrap/>
            <w:vAlign w:val="bottom"/>
            <w:hideMark/>
          </w:tcPr>
          <w:p w14:paraId="2273F54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595DE64"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72A5954D"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153457"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Đồ chơi xe chạy cót</w:t>
            </w:r>
          </w:p>
        </w:tc>
        <w:tc>
          <w:tcPr>
            <w:tcW w:w="616" w:type="dxa"/>
            <w:tcBorders>
              <w:top w:val="nil"/>
              <w:left w:val="nil"/>
              <w:bottom w:val="single" w:sz="4" w:space="0" w:color="auto"/>
              <w:right w:val="single" w:sz="4" w:space="0" w:color="auto"/>
            </w:tcBorders>
            <w:noWrap/>
            <w:vAlign w:val="bottom"/>
            <w:hideMark/>
          </w:tcPr>
          <w:p w14:paraId="3B85A7FA"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189E868"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r w:rsidR="00C81C4E" w:rsidRPr="00C81C4E" w14:paraId="361EE182" w14:textId="77777777" w:rsidTr="00C81C4E">
        <w:trPr>
          <w:trHeight w:val="285"/>
        </w:trPr>
        <w:tc>
          <w:tcPr>
            <w:tcW w:w="7662" w:type="dxa"/>
            <w:tcBorders>
              <w:top w:val="nil"/>
              <w:left w:val="single" w:sz="4" w:space="0" w:color="auto"/>
              <w:bottom w:val="single" w:sz="4" w:space="0" w:color="auto"/>
              <w:right w:val="single" w:sz="4" w:space="0" w:color="auto"/>
            </w:tcBorders>
            <w:noWrap/>
            <w:vAlign w:val="center"/>
            <w:hideMark/>
          </w:tcPr>
          <w:p w14:paraId="555D9BAA"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Quạt bóp tay mini</w:t>
            </w:r>
          </w:p>
        </w:tc>
        <w:tc>
          <w:tcPr>
            <w:tcW w:w="616" w:type="dxa"/>
            <w:tcBorders>
              <w:top w:val="nil"/>
              <w:left w:val="nil"/>
              <w:bottom w:val="single" w:sz="4" w:space="0" w:color="auto"/>
              <w:right w:val="single" w:sz="4" w:space="0" w:color="auto"/>
            </w:tcBorders>
            <w:noWrap/>
            <w:vAlign w:val="bottom"/>
            <w:hideMark/>
          </w:tcPr>
          <w:p w14:paraId="0329A9CB" w14:textId="77777777" w:rsidR="00C81C4E" w:rsidRPr="00C81C4E" w:rsidRDefault="00C81C4E" w:rsidP="00C81C4E">
            <w:pPr>
              <w:spacing w:line="240" w:lineRule="auto"/>
              <w:jc w:val="right"/>
              <w:rPr>
                <w:rFonts w:ascii="Times New Roman" w:eastAsia="Times New Roman" w:hAnsi="Times New Roman" w:cs="Times New Roman"/>
                <w:color w:val="000000"/>
              </w:rPr>
            </w:pPr>
            <w:r w:rsidRPr="00C81C4E">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0638CD6" w14:textId="77777777" w:rsidR="00C81C4E" w:rsidRPr="00C81C4E" w:rsidRDefault="00C81C4E" w:rsidP="00C81C4E">
            <w:pPr>
              <w:spacing w:line="240" w:lineRule="auto"/>
              <w:rPr>
                <w:rFonts w:ascii="Times New Roman" w:eastAsia="Times New Roman" w:hAnsi="Times New Roman" w:cs="Times New Roman"/>
                <w:color w:val="000000"/>
              </w:rPr>
            </w:pPr>
            <w:r w:rsidRPr="00C81C4E">
              <w:rPr>
                <w:rFonts w:ascii="Times New Roman" w:eastAsia="Times New Roman" w:hAnsi="Times New Roman" w:cs="Times New Roman"/>
                <w:color w:val="000000"/>
              </w:rPr>
              <w:t> </w:t>
            </w:r>
          </w:p>
        </w:tc>
      </w:tr>
    </w:tbl>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30FF" w14:textId="77777777" w:rsidR="00171B04" w:rsidRDefault="00171B04">
      <w:pPr>
        <w:spacing w:line="240" w:lineRule="auto"/>
      </w:pPr>
      <w:r>
        <w:separator/>
      </w:r>
    </w:p>
  </w:endnote>
  <w:endnote w:type="continuationSeparator" w:id="0">
    <w:p w14:paraId="2229DD8B" w14:textId="77777777" w:rsidR="00171B04" w:rsidRDefault="00171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1799" w14:textId="77777777" w:rsidR="00171B04" w:rsidRDefault="00171B04">
      <w:r>
        <w:separator/>
      </w:r>
    </w:p>
  </w:footnote>
  <w:footnote w:type="continuationSeparator" w:id="0">
    <w:p w14:paraId="64EF6964" w14:textId="77777777" w:rsidR="00171B04" w:rsidRDefault="0017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62F4"/>
    <w:multiLevelType w:val="hybridMultilevel"/>
    <w:tmpl w:val="EB50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45BF5"/>
    <w:multiLevelType w:val="hybridMultilevel"/>
    <w:tmpl w:val="031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4"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75830"/>
    <w:multiLevelType w:val="hybridMultilevel"/>
    <w:tmpl w:val="E3E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0"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9"/>
  </w:num>
  <w:num w:numId="2" w16cid:durableId="940724975">
    <w:abstractNumId w:val="8"/>
  </w:num>
  <w:num w:numId="3" w16cid:durableId="640038098">
    <w:abstractNumId w:val="2"/>
  </w:num>
  <w:num w:numId="4" w16cid:durableId="1239051692">
    <w:abstractNumId w:val="9"/>
  </w:num>
  <w:num w:numId="5" w16cid:durableId="191766073">
    <w:abstractNumId w:val="5"/>
  </w:num>
  <w:num w:numId="6" w16cid:durableId="1225215587">
    <w:abstractNumId w:val="0"/>
  </w:num>
  <w:num w:numId="7" w16cid:durableId="1338657405">
    <w:abstractNumId w:val="12"/>
  </w:num>
  <w:num w:numId="8" w16cid:durableId="927732062">
    <w:abstractNumId w:val="15"/>
  </w:num>
  <w:num w:numId="9" w16cid:durableId="1453015534">
    <w:abstractNumId w:val="4"/>
  </w:num>
  <w:num w:numId="10" w16cid:durableId="1373843327">
    <w:abstractNumId w:val="16"/>
  </w:num>
  <w:num w:numId="11" w16cid:durableId="567611042">
    <w:abstractNumId w:val="1"/>
  </w:num>
  <w:num w:numId="12" w16cid:durableId="1635791671">
    <w:abstractNumId w:val="20"/>
  </w:num>
  <w:num w:numId="13" w16cid:durableId="682439814">
    <w:abstractNumId w:val="10"/>
  </w:num>
  <w:num w:numId="14" w16cid:durableId="444469544">
    <w:abstractNumId w:val="14"/>
  </w:num>
  <w:num w:numId="15" w16cid:durableId="1548835478">
    <w:abstractNumId w:val="18"/>
  </w:num>
  <w:num w:numId="16" w16cid:durableId="2128428431">
    <w:abstractNumId w:val="13"/>
  </w:num>
  <w:num w:numId="17" w16cid:durableId="318658664">
    <w:abstractNumId w:val="11"/>
  </w:num>
  <w:num w:numId="18" w16cid:durableId="701128437">
    <w:abstractNumId w:val="3"/>
  </w:num>
  <w:num w:numId="19" w16cid:durableId="1519002685">
    <w:abstractNumId w:val="17"/>
  </w:num>
  <w:num w:numId="20" w16cid:durableId="552547041">
    <w:abstractNumId w:val="6"/>
  </w:num>
  <w:num w:numId="21" w16cid:durableId="1091437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1BEB"/>
    <w:rsid w:val="00014056"/>
    <w:rsid w:val="00014196"/>
    <w:rsid w:val="00015ED3"/>
    <w:rsid w:val="000376EB"/>
    <w:rsid w:val="00053A2F"/>
    <w:rsid w:val="00064750"/>
    <w:rsid w:val="00071271"/>
    <w:rsid w:val="00071C48"/>
    <w:rsid w:val="00077ED8"/>
    <w:rsid w:val="000914DD"/>
    <w:rsid w:val="0009445A"/>
    <w:rsid w:val="000A1781"/>
    <w:rsid w:val="000A3274"/>
    <w:rsid w:val="000A4A49"/>
    <w:rsid w:val="000A5256"/>
    <w:rsid w:val="000B3485"/>
    <w:rsid w:val="000C00C4"/>
    <w:rsid w:val="000C2633"/>
    <w:rsid w:val="000C733C"/>
    <w:rsid w:val="000C781B"/>
    <w:rsid w:val="000C7F86"/>
    <w:rsid w:val="000D3B16"/>
    <w:rsid w:val="000D75A6"/>
    <w:rsid w:val="000D7875"/>
    <w:rsid w:val="000D7DD1"/>
    <w:rsid w:val="000E13A5"/>
    <w:rsid w:val="000F565D"/>
    <w:rsid w:val="00100AB5"/>
    <w:rsid w:val="00101FC3"/>
    <w:rsid w:val="00102E1A"/>
    <w:rsid w:val="0010470B"/>
    <w:rsid w:val="00105EEC"/>
    <w:rsid w:val="00137FDC"/>
    <w:rsid w:val="00145724"/>
    <w:rsid w:val="0015159C"/>
    <w:rsid w:val="00151681"/>
    <w:rsid w:val="00165A1D"/>
    <w:rsid w:val="00171B04"/>
    <w:rsid w:val="0017379D"/>
    <w:rsid w:val="00175BC3"/>
    <w:rsid w:val="00187C6B"/>
    <w:rsid w:val="001A1FC7"/>
    <w:rsid w:val="001C326D"/>
    <w:rsid w:val="001D4C01"/>
    <w:rsid w:val="001D4EBA"/>
    <w:rsid w:val="001D7B6E"/>
    <w:rsid w:val="001F5E0D"/>
    <w:rsid w:val="00217CC3"/>
    <w:rsid w:val="00220279"/>
    <w:rsid w:val="002240F0"/>
    <w:rsid w:val="00225793"/>
    <w:rsid w:val="00230768"/>
    <w:rsid w:val="0023351C"/>
    <w:rsid w:val="00236DE0"/>
    <w:rsid w:val="002570CA"/>
    <w:rsid w:val="00266042"/>
    <w:rsid w:val="00272A13"/>
    <w:rsid w:val="00275A01"/>
    <w:rsid w:val="00275CD5"/>
    <w:rsid w:val="00281441"/>
    <w:rsid w:val="00293730"/>
    <w:rsid w:val="002A122C"/>
    <w:rsid w:val="002B33A8"/>
    <w:rsid w:val="002C5C54"/>
    <w:rsid w:val="002C5F37"/>
    <w:rsid w:val="002D63CF"/>
    <w:rsid w:val="002E1DF6"/>
    <w:rsid w:val="002E4CE9"/>
    <w:rsid w:val="003050CC"/>
    <w:rsid w:val="00305568"/>
    <w:rsid w:val="00333CD8"/>
    <w:rsid w:val="00337D10"/>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11BA6"/>
    <w:rsid w:val="0042325B"/>
    <w:rsid w:val="00425910"/>
    <w:rsid w:val="004260A0"/>
    <w:rsid w:val="0043733F"/>
    <w:rsid w:val="0045343A"/>
    <w:rsid w:val="00471456"/>
    <w:rsid w:val="00476915"/>
    <w:rsid w:val="00476A29"/>
    <w:rsid w:val="00483001"/>
    <w:rsid w:val="004835F7"/>
    <w:rsid w:val="004974DA"/>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3895"/>
    <w:rsid w:val="005970F4"/>
    <w:rsid w:val="00597CC0"/>
    <w:rsid w:val="005C73CE"/>
    <w:rsid w:val="005C75A5"/>
    <w:rsid w:val="005D03B8"/>
    <w:rsid w:val="005D2A2B"/>
    <w:rsid w:val="005E49F8"/>
    <w:rsid w:val="005E5950"/>
    <w:rsid w:val="005E5FA3"/>
    <w:rsid w:val="005F6B61"/>
    <w:rsid w:val="0060091B"/>
    <w:rsid w:val="006016D7"/>
    <w:rsid w:val="00606EB9"/>
    <w:rsid w:val="00614FA1"/>
    <w:rsid w:val="00620F38"/>
    <w:rsid w:val="0062630C"/>
    <w:rsid w:val="00643471"/>
    <w:rsid w:val="00665068"/>
    <w:rsid w:val="0067289B"/>
    <w:rsid w:val="00680B52"/>
    <w:rsid w:val="006829F7"/>
    <w:rsid w:val="00690C78"/>
    <w:rsid w:val="0069147D"/>
    <w:rsid w:val="00692D95"/>
    <w:rsid w:val="006A01B4"/>
    <w:rsid w:val="006A1094"/>
    <w:rsid w:val="006A30FB"/>
    <w:rsid w:val="006A325A"/>
    <w:rsid w:val="006A47B9"/>
    <w:rsid w:val="006A6EA6"/>
    <w:rsid w:val="006A77F0"/>
    <w:rsid w:val="006B2874"/>
    <w:rsid w:val="006B6888"/>
    <w:rsid w:val="006C175C"/>
    <w:rsid w:val="006C3EC9"/>
    <w:rsid w:val="006C67DE"/>
    <w:rsid w:val="006E5227"/>
    <w:rsid w:val="006F4607"/>
    <w:rsid w:val="00727C0F"/>
    <w:rsid w:val="007328E9"/>
    <w:rsid w:val="0073758F"/>
    <w:rsid w:val="00742819"/>
    <w:rsid w:val="007437F2"/>
    <w:rsid w:val="00746663"/>
    <w:rsid w:val="007541FC"/>
    <w:rsid w:val="007658A3"/>
    <w:rsid w:val="0076592B"/>
    <w:rsid w:val="00770EA5"/>
    <w:rsid w:val="00771084"/>
    <w:rsid w:val="00791B3C"/>
    <w:rsid w:val="007971E3"/>
    <w:rsid w:val="007A2146"/>
    <w:rsid w:val="007A3FC0"/>
    <w:rsid w:val="007A4C6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5D95"/>
    <w:rsid w:val="00880519"/>
    <w:rsid w:val="00881723"/>
    <w:rsid w:val="00890E01"/>
    <w:rsid w:val="00897CE2"/>
    <w:rsid w:val="008B12E8"/>
    <w:rsid w:val="008D08A5"/>
    <w:rsid w:val="008D1807"/>
    <w:rsid w:val="008D4D27"/>
    <w:rsid w:val="008E2AF0"/>
    <w:rsid w:val="008F54BC"/>
    <w:rsid w:val="009061B1"/>
    <w:rsid w:val="00912C22"/>
    <w:rsid w:val="0093221D"/>
    <w:rsid w:val="009355C2"/>
    <w:rsid w:val="00940DE1"/>
    <w:rsid w:val="00943085"/>
    <w:rsid w:val="009440DA"/>
    <w:rsid w:val="009575BB"/>
    <w:rsid w:val="00961298"/>
    <w:rsid w:val="00981165"/>
    <w:rsid w:val="00982B04"/>
    <w:rsid w:val="009844D5"/>
    <w:rsid w:val="00986C95"/>
    <w:rsid w:val="00993B21"/>
    <w:rsid w:val="00995DFB"/>
    <w:rsid w:val="009A246A"/>
    <w:rsid w:val="009B3693"/>
    <w:rsid w:val="009B7C9A"/>
    <w:rsid w:val="009C5A61"/>
    <w:rsid w:val="009C7B63"/>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2AA"/>
    <w:rsid w:val="00C11B90"/>
    <w:rsid w:val="00C15D7C"/>
    <w:rsid w:val="00C20380"/>
    <w:rsid w:val="00C32562"/>
    <w:rsid w:val="00C61DA2"/>
    <w:rsid w:val="00C63B30"/>
    <w:rsid w:val="00C67A3F"/>
    <w:rsid w:val="00C766C2"/>
    <w:rsid w:val="00C77A38"/>
    <w:rsid w:val="00C81C4E"/>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2202B"/>
    <w:rsid w:val="00D337A3"/>
    <w:rsid w:val="00D36E20"/>
    <w:rsid w:val="00D51FB7"/>
    <w:rsid w:val="00D5272C"/>
    <w:rsid w:val="00D54F82"/>
    <w:rsid w:val="00D703D3"/>
    <w:rsid w:val="00D7286C"/>
    <w:rsid w:val="00D819A3"/>
    <w:rsid w:val="00D83C56"/>
    <w:rsid w:val="00D90DE8"/>
    <w:rsid w:val="00D96080"/>
    <w:rsid w:val="00D97542"/>
    <w:rsid w:val="00DA41CE"/>
    <w:rsid w:val="00DC4CDE"/>
    <w:rsid w:val="00DD3CB6"/>
    <w:rsid w:val="00DE172B"/>
    <w:rsid w:val="00DE633E"/>
    <w:rsid w:val="00E00A96"/>
    <w:rsid w:val="00E02D9F"/>
    <w:rsid w:val="00E1343A"/>
    <w:rsid w:val="00E35427"/>
    <w:rsid w:val="00E4008F"/>
    <w:rsid w:val="00E419AA"/>
    <w:rsid w:val="00E625E6"/>
    <w:rsid w:val="00E62A53"/>
    <w:rsid w:val="00E65F72"/>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2DAD"/>
    <w:rsid w:val="00F739DF"/>
    <w:rsid w:val="00F75AC7"/>
    <w:rsid w:val="00F75C4E"/>
    <w:rsid w:val="00FA5B77"/>
    <w:rsid w:val="00FB0402"/>
    <w:rsid w:val="00FC5FD0"/>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paragraph" w:styleId="Revision">
    <w:name w:val="Revision"/>
    <w:hidden/>
    <w:uiPriority w:val="99"/>
    <w:unhideWhenUsed/>
    <w:rsid w:val="0074281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2025-12-25T09:29:00Z</dcterms:created>
  <dcterms:modified xsi:type="dcterms:W3CDTF">2025-12-26T11:48:00Z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